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167" w:rsidRDefault="007E2B77" w:rsidP="007E2B77">
      <w:pPr>
        <w:jc w:val="center"/>
        <w:rPr>
          <w:b/>
        </w:rPr>
      </w:pPr>
      <w:r w:rsidRPr="007E2B77">
        <w:rPr>
          <w:b/>
        </w:rPr>
        <w:t>Non-banking Financial Companies</w:t>
      </w:r>
    </w:p>
    <w:p w:rsidR="00C90C62" w:rsidRPr="007E2B77" w:rsidRDefault="00C90C62" w:rsidP="007E2B77">
      <w:pPr>
        <w:jc w:val="center"/>
        <w:rPr>
          <w:b/>
        </w:rPr>
      </w:pPr>
      <w:bookmarkStart w:id="0" w:name="_GoBack"/>
      <w:bookmarkEnd w:id="0"/>
    </w:p>
    <w:tbl>
      <w:tblPr>
        <w:tblStyle w:val="TableGrid"/>
        <w:tblW w:w="0" w:type="auto"/>
        <w:tblLook w:val="04A0" w:firstRow="1" w:lastRow="0" w:firstColumn="1" w:lastColumn="0" w:noHBand="0" w:noVBand="1"/>
      </w:tblPr>
      <w:tblGrid>
        <w:gridCol w:w="846"/>
        <w:gridCol w:w="8170"/>
      </w:tblGrid>
      <w:tr w:rsidR="00C90C62" w:rsidTr="00C90C62">
        <w:tc>
          <w:tcPr>
            <w:tcW w:w="846" w:type="dxa"/>
          </w:tcPr>
          <w:p w:rsidR="00C90C62" w:rsidRPr="00C90C62" w:rsidRDefault="00C90C62" w:rsidP="00C90C62">
            <w:pPr>
              <w:jc w:val="center"/>
              <w:rPr>
                <w:rFonts w:ascii="Arial" w:hAnsi="Arial" w:cs="Arial"/>
                <w:b/>
                <w:bCs/>
                <w:color w:val="000000"/>
                <w:sz w:val="20"/>
                <w:szCs w:val="20"/>
              </w:rPr>
            </w:pPr>
            <w:proofErr w:type="spellStart"/>
            <w:r w:rsidRPr="00C90C62">
              <w:rPr>
                <w:rFonts w:ascii="Arial" w:hAnsi="Arial" w:cs="Arial"/>
                <w:b/>
                <w:bCs/>
                <w:color w:val="000000"/>
                <w:sz w:val="20"/>
                <w:szCs w:val="20"/>
              </w:rPr>
              <w:t>S.No</w:t>
            </w:r>
            <w:proofErr w:type="spellEnd"/>
            <w:r w:rsidRPr="00C90C62">
              <w:rPr>
                <w:rFonts w:ascii="Arial" w:hAnsi="Arial" w:cs="Arial"/>
                <w:b/>
                <w:bCs/>
                <w:color w:val="000000"/>
                <w:sz w:val="20"/>
                <w:szCs w:val="20"/>
              </w:rPr>
              <w:t>.</w:t>
            </w:r>
          </w:p>
        </w:tc>
        <w:tc>
          <w:tcPr>
            <w:tcW w:w="8170" w:type="dxa"/>
          </w:tcPr>
          <w:p w:rsidR="00C90C62" w:rsidRPr="00C90C62" w:rsidRDefault="00C90C62" w:rsidP="00C90C62">
            <w:pPr>
              <w:jc w:val="center"/>
              <w:rPr>
                <w:rFonts w:ascii="Arial" w:hAnsi="Arial" w:cs="Arial"/>
                <w:b/>
                <w:bCs/>
                <w:color w:val="000000"/>
                <w:sz w:val="20"/>
                <w:szCs w:val="20"/>
              </w:rPr>
            </w:pPr>
            <w:r w:rsidRPr="00C90C62">
              <w:rPr>
                <w:rFonts w:ascii="Arial" w:hAnsi="Arial" w:cs="Arial"/>
                <w:b/>
                <w:bCs/>
                <w:color w:val="000000"/>
                <w:sz w:val="20"/>
                <w:szCs w:val="20"/>
              </w:rPr>
              <w:t>RBI Notifications</w:t>
            </w:r>
          </w:p>
        </w:tc>
      </w:tr>
      <w:tr w:rsidR="00C90C62" w:rsidTr="00C90C62">
        <w:tc>
          <w:tcPr>
            <w:tcW w:w="846" w:type="dxa"/>
          </w:tcPr>
          <w:p w:rsidR="00C90C62" w:rsidRPr="00C90C62" w:rsidRDefault="00C90C62" w:rsidP="00C90C62">
            <w:pPr>
              <w:pStyle w:val="ListParagraph"/>
              <w:numPr>
                <w:ilvl w:val="0"/>
                <w:numId w:val="4"/>
              </w:numPr>
              <w:jc w:val="center"/>
              <w:rPr>
                <w:rFonts w:ascii="Arial" w:hAnsi="Arial" w:cs="Arial"/>
                <w:bCs/>
                <w:color w:val="000000"/>
                <w:sz w:val="20"/>
                <w:szCs w:val="20"/>
              </w:rPr>
            </w:pPr>
          </w:p>
        </w:tc>
        <w:tc>
          <w:tcPr>
            <w:tcW w:w="8170" w:type="dxa"/>
          </w:tcPr>
          <w:p w:rsidR="00C90C62" w:rsidRPr="00C90C62" w:rsidRDefault="00C90C62" w:rsidP="007E2B77">
            <w:pPr>
              <w:jc w:val="both"/>
              <w:rPr>
                <w:rFonts w:ascii="Arial" w:hAnsi="Arial" w:cs="Arial"/>
                <w:bCs/>
                <w:color w:val="000000"/>
                <w:sz w:val="20"/>
                <w:szCs w:val="20"/>
              </w:rPr>
            </w:pPr>
            <w:r w:rsidRPr="00C90C62">
              <w:rPr>
                <w:rFonts w:ascii="Arial" w:hAnsi="Arial" w:cs="Arial"/>
                <w:bCs/>
                <w:color w:val="000000"/>
                <w:sz w:val="20"/>
                <w:szCs w:val="20"/>
              </w:rPr>
              <w:t>Provisioning Requirement for Investment in Security Receipts (SRs)</w:t>
            </w:r>
          </w:p>
        </w:tc>
      </w:tr>
      <w:tr w:rsidR="00C90C62" w:rsidTr="00216FF1">
        <w:tc>
          <w:tcPr>
            <w:tcW w:w="846" w:type="dxa"/>
          </w:tcPr>
          <w:p w:rsidR="00C90C62" w:rsidRPr="00C90C62" w:rsidRDefault="00C90C62" w:rsidP="00C90C62">
            <w:pPr>
              <w:pStyle w:val="ListParagraph"/>
              <w:numPr>
                <w:ilvl w:val="0"/>
                <w:numId w:val="4"/>
              </w:numPr>
              <w:jc w:val="center"/>
              <w:rPr>
                <w:rFonts w:ascii="Arial" w:hAnsi="Arial" w:cs="Arial"/>
                <w:bCs/>
                <w:color w:val="000000"/>
                <w:sz w:val="20"/>
                <w:szCs w:val="20"/>
              </w:rPr>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C90C62" w:rsidRPr="00C90C62" w:rsidRDefault="00C90C62" w:rsidP="00C90C62">
            <w:pPr>
              <w:rPr>
                <w:rFonts w:ascii="Arial" w:hAnsi="Arial" w:cs="Arial"/>
                <w:color w:val="000000"/>
                <w:sz w:val="20"/>
                <w:szCs w:val="20"/>
              </w:rPr>
            </w:pPr>
            <w:r w:rsidRPr="00C90C62">
              <w:rPr>
                <w:rFonts w:ascii="Arial" w:hAnsi="Arial" w:cs="Arial"/>
                <w:color w:val="000000"/>
                <w:sz w:val="20"/>
                <w:szCs w:val="20"/>
              </w:rPr>
              <w:t>Extension of timeline for implementation of certain provisions of Master Direction – Credit Card and Debit Card – Issuance and Conduct Directions, 2022</w:t>
            </w:r>
          </w:p>
        </w:tc>
      </w:tr>
      <w:tr w:rsidR="00C90C62" w:rsidTr="00216FF1">
        <w:tc>
          <w:tcPr>
            <w:tcW w:w="846" w:type="dxa"/>
          </w:tcPr>
          <w:p w:rsidR="00C90C62" w:rsidRPr="00C90C62" w:rsidRDefault="00C90C62" w:rsidP="00C90C62">
            <w:pPr>
              <w:pStyle w:val="ListParagraph"/>
              <w:numPr>
                <w:ilvl w:val="0"/>
                <w:numId w:val="4"/>
              </w:numPr>
              <w:jc w:val="center"/>
              <w:rPr>
                <w:rFonts w:ascii="Arial" w:hAnsi="Arial" w:cs="Arial"/>
                <w:bCs/>
                <w:color w:val="000000"/>
                <w:sz w:val="20"/>
                <w:szCs w:val="20"/>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C90C62" w:rsidRPr="00C90C62" w:rsidRDefault="00C90C62" w:rsidP="00C90C62">
            <w:pPr>
              <w:rPr>
                <w:rFonts w:ascii="Arial" w:hAnsi="Arial" w:cs="Arial"/>
                <w:color w:val="000000"/>
                <w:sz w:val="20"/>
                <w:szCs w:val="20"/>
              </w:rPr>
            </w:pPr>
            <w:r w:rsidRPr="00C90C62">
              <w:rPr>
                <w:rFonts w:ascii="Arial" w:hAnsi="Arial" w:cs="Arial"/>
                <w:color w:val="000000"/>
                <w:sz w:val="20"/>
                <w:szCs w:val="20"/>
              </w:rPr>
              <w:t>Processing of e-mandates for recurring transactions</w:t>
            </w:r>
          </w:p>
        </w:tc>
      </w:tr>
      <w:tr w:rsidR="00C90C62" w:rsidTr="00C90C62">
        <w:tc>
          <w:tcPr>
            <w:tcW w:w="846" w:type="dxa"/>
          </w:tcPr>
          <w:p w:rsidR="00C90C62" w:rsidRPr="00C90C62" w:rsidRDefault="00C90C62" w:rsidP="00C90C62">
            <w:pPr>
              <w:pStyle w:val="ListParagraph"/>
              <w:numPr>
                <w:ilvl w:val="0"/>
                <w:numId w:val="4"/>
              </w:numPr>
              <w:jc w:val="center"/>
              <w:rPr>
                <w:rFonts w:ascii="Arial" w:hAnsi="Arial" w:cs="Arial"/>
                <w:bCs/>
                <w:color w:val="000000"/>
                <w:sz w:val="20"/>
                <w:szCs w:val="20"/>
              </w:rPr>
            </w:pPr>
          </w:p>
        </w:tc>
        <w:tc>
          <w:tcPr>
            <w:tcW w:w="8170" w:type="dxa"/>
          </w:tcPr>
          <w:p w:rsidR="00C90C62" w:rsidRPr="00C90C62" w:rsidRDefault="00C90C62" w:rsidP="00C90C62">
            <w:pPr>
              <w:jc w:val="both"/>
              <w:rPr>
                <w:rFonts w:ascii="Arial" w:hAnsi="Arial" w:cs="Arial"/>
                <w:bCs/>
                <w:color w:val="000000"/>
                <w:sz w:val="20"/>
                <w:szCs w:val="20"/>
              </w:rPr>
            </w:pPr>
            <w:r w:rsidRPr="00C90C62">
              <w:rPr>
                <w:rFonts w:ascii="Arial" w:hAnsi="Arial" w:cs="Arial"/>
                <w:bCs/>
                <w:color w:val="000000"/>
                <w:sz w:val="20"/>
                <w:szCs w:val="20"/>
              </w:rPr>
              <w:t>Provisioning for Standard assets by Non-Banking Financial Company – Upper Layer</w:t>
            </w:r>
          </w:p>
        </w:tc>
      </w:tr>
      <w:tr w:rsidR="00C90C62" w:rsidTr="00E67A7A">
        <w:tc>
          <w:tcPr>
            <w:tcW w:w="846" w:type="dxa"/>
          </w:tcPr>
          <w:p w:rsidR="00C90C62" w:rsidRPr="00C90C62" w:rsidRDefault="00C90C62" w:rsidP="00C90C62">
            <w:pPr>
              <w:pStyle w:val="ListParagraph"/>
              <w:numPr>
                <w:ilvl w:val="0"/>
                <w:numId w:val="4"/>
              </w:numPr>
              <w:jc w:val="center"/>
              <w:rPr>
                <w:rFonts w:ascii="Arial" w:hAnsi="Arial" w:cs="Arial"/>
                <w:bCs/>
                <w:color w:val="000000"/>
                <w:sz w:val="20"/>
                <w:szCs w:val="20"/>
              </w:rPr>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C90C62" w:rsidRPr="00C90C62" w:rsidRDefault="00C90C62" w:rsidP="00C90C62">
            <w:pPr>
              <w:rPr>
                <w:rFonts w:ascii="Arial" w:hAnsi="Arial" w:cs="Arial"/>
                <w:color w:val="000000"/>
                <w:sz w:val="20"/>
                <w:szCs w:val="20"/>
              </w:rPr>
            </w:pPr>
            <w:r w:rsidRPr="00C90C62">
              <w:rPr>
                <w:rFonts w:ascii="Arial" w:hAnsi="Arial" w:cs="Arial"/>
                <w:color w:val="000000"/>
                <w:sz w:val="20"/>
                <w:szCs w:val="20"/>
              </w:rPr>
              <w:t>Lending by Commercial Banks to NBFCs and Small Finance Banks (SFBs) to NBFC-MFIs, for the purpose of on-lending to priority sectors</w:t>
            </w:r>
          </w:p>
        </w:tc>
      </w:tr>
      <w:tr w:rsidR="00C90C62" w:rsidTr="00E67A7A">
        <w:tc>
          <w:tcPr>
            <w:tcW w:w="846" w:type="dxa"/>
          </w:tcPr>
          <w:p w:rsidR="00C90C62" w:rsidRPr="00C90C62" w:rsidRDefault="00C90C62" w:rsidP="00C90C62">
            <w:pPr>
              <w:pStyle w:val="ListParagraph"/>
              <w:numPr>
                <w:ilvl w:val="0"/>
                <w:numId w:val="4"/>
              </w:numPr>
              <w:jc w:val="center"/>
              <w:rPr>
                <w:rFonts w:ascii="Arial" w:hAnsi="Arial" w:cs="Arial"/>
                <w:bCs/>
                <w:color w:val="000000"/>
                <w:sz w:val="20"/>
                <w:szCs w:val="20"/>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C90C62" w:rsidRPr="00C90C62" w:rsidRDefault="00C90C62" w:rsidP="00C90C62">
            <w:pPr>
              <w:rPr>
                <w:rFonts w:ascii="Arial" w:hAnsi="Arial" w:cs="Arial"/>
                <w:color w:val="000000"/>
                <w:sz w:val="20"/>
                <w:szCs w:val="20"/>
              </w:rPr>
            </w:pPr>
            <w:r w:rsidRPr="00C90C62">
              <w:rPr>
                <w:rFonts w:ascii="Arial" w:hAnsi="Arial" w:cs="Arial"/>
                <w:color w:val="000000"/>
                <w:sz w:val="20"/>
                <w:szCs w:val="20"/>
              </w:rPr>
              <w:t>Review of Minimum Investment Grade Credit Ratings for Deposits of NBFCs</w:t>
            </w:r>
          </w:p>
        </w:tc>
      </w:tr>
      <w:tr w:rsidR="00C90C62" w:rsidTr="00E67A7A">
        <w:tc>
          <w:tcPr>
            <w:tcW w:w="846" w:type="dxa"/>
          </w:tcPr>
          <w:p w:rsidR="00C90C62" w:rsidRPr="00C90C62" w:rsidRDefault="00C90C62" w:rsidP="00C90C62">
            <w:pPr>
              <w:pStyle w:val="ListParagraph"/>
              <w:numPr>
                <w:ilvl w:val="0"/>
                <w:numId w:val="4"/>
              </w:numPr>
              <w:jc w:val="center"/>
              <w:rPr>
                <w:rFonts w:ascii="Arial" w:hAnsi="Arial" w:cs="Arial"/>
                <w:bCs/>
                <w:color w:val="000000"/>
                <w:sz w:val="20"/>
                <w:szCs w:val="20"/>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C90C62" w:rsidRPr="00C90C62" w:rsidRDefault="00C90C62" w:rsidP="00C90C62">
            <w:pPr>
              <w:rPr>
                <w:rFonts w:ascii="Arial" w:hAnsi="Arial" w:cs="Arial"/>
                <w:color w:val="000000"/>
                <w:sz w:val="20"/>
                <w:szCs w:val="20"/>
              </w:rPr>
            </w:pPr>
            <w:r w:rsidRPr="00C90C62">
              <w:rPr>
                <w:rFonts w:ascii="Arial" w:hAnsi="Arial" w:cs="Arial"/>
                <w:color w:val="000000"/>
                <w:sz w:val="20"/>
                <w:szCs w:val="20"/>
              </w:rPr>
              <w:t>Guidelines on Compensation of Key Managerial Personnel (KMP) and Senior Management in NBFCs</w:t>
            </w:r>
          </w:p>
        </w:tc>
      </w:tr>
      <w:tr w:rsidR="00C90C62" w:rsidTr="00C90C62">
        <w:tc>
          <w:tcPr>
            <w:tcW w:w="846" w:type="dxa"/>
          </w:tcPr>
          <w:p w:rsidR="00C90C62" w:rsidRPr="00C90C62" w:rsidRDefault="00C90C62" w:rsidP="00C90C62">
            <w:pPr>
              <w:pStyle w:val="ListParagraph"/>
              <w:numPr>
                <w:ilvl w:val="0"/>
                <w:numId w:val="4"/>
              </w:numPr>
              <w:jc w:val="center"/>
              <w:rPr>
                <w:rFonts w:ascii="Arial" w:hAnsi="Arial" w:cs="Arial"/>
                <w:bCs/>
                <w:color w:val="000000"/>
                <w:sz w:val="20"/>
                <w:szCs w:val="20"/>
              </w:rPr>
            </w:pPr>
          </w:p>
        </w:tc>
        <w:tc>
          <w:tcPr>
            <w:tcW w:w="8170" w:type="dxa"/>
          </w:tcPr>
          <w:p w:rsidR="00C90C62" w:rsidRPr="00C90C62" w:rsidRDefault="00C90C62" w:rsidP="00C90C62">
            <w:pPr>
              <w:jc w:val="both"/>
              <w:rPr>
                <w:rFonts w:ascii="Arial" w:hAnsi="Arial" w:cs="Arial"/>
                <w:bCs/>
                <w:color w:val="000000"/>
                <w:sz w:val="20"/>
                <w:szCs w:val="20"/>
              </w:rPr>
            </w:pPr>
            <w:r w:rsidRPr="00C90C62">
              <w:rPr>
                <w:rFonts w:ascii="Arial" w:hAnsi="Arial" w:cs="Arial"/>
                <w:bCs/>
                <w:color w:val="000000"/>
                <w:sz w:val="20"/>
                <w:szCs w:val="20"/>
              </w:rPr>
              <w:t>Master Direction – Credit Card and Debit Card – Issuance and Conduct Directions, 2022</w:t>
            </w:r>
          </w:p>
        </w:tc>
      </w:tr>
      <w:tr w:rsidR="00C90C62" w:rsidTr="00C90C62">
        <w:tc>
          <w:tcPr>
            <w:tcW w:w="846" w:type="dxa"/>
          </w:tcPr>
          <w:p w:rsidR="00C90C62" w:rsidRPr="00C90C62" w:rsidRDefault="00C90C62" w:rsidP="00C90C62">
            <w:pPr>
              <w:pStyle w:val="ListParagraph"/>
              <w:numPr>
                <w:ilvl w:val="0"/>
                <w:numId w:val="4"/>
              </w:numPr>
              <w:jc w:val="center"/>
              <w:rPr>
                <w:rFonts w:ascii="Arial" w:hAnsi="Arial" w:cs="Arial"/>
                <w:bCs/>
                <w:color w:val="000000"/>
                <w:sz w:val="20"/>
                <w:szCs w:val="20"/>
              </w:rPr>
            </w:pPr>
          </w:p>
        </w:tc>
        <w:tc>
          <w:tcPr>
            <w:tcW w:w="8170" w:type="dxa"/>
          </w:tcPr>
          <w:p w:rsidR="00C90C62" w:rsidRPr="00C90C62" w:rsidRDefault="00C90C62" w:rsidP="00C90C62">
            <w:pPr>
              <w:jc w:val="both"/>
              <w:rPr>
                <w:rFonts w:ascii="Arial" w:hAnsi="Arial" w:cs="Arial"/>
                <w:bCs/>
                <w:color w:val="000000"/>
                <w:sz w:val="20"/>
                <w:szCs w:val="20"/>
              </w:rPr>
            </w:pPr>
            <w:r w:rsidRPr="00C90C62">
              <w:rPr>
                <w:rFonts w:ascii="Arial" w:hAnsi="Arial" w:cs="Arial"/>
                <w:bCs/>
                <w:color w:val="000000"/>
                <w:sz w:val="20"/>
                <w:szCs w:val="20"/>
              </w:rPr>
              <w:t>Large Exposures Framework for Non-Banking Financial Company - Upper Layer (NBFC-UL)</w:t>
            </w:r>
          </w:p>
        </w:tc>
      </w:tr>
      <w:tr w:rsidR="00C90C62" w:rsidTr="00C90C62">
        <w:tc>
          <w:tcPr>
            <w:tcW w:w="846" w:type="dxa"/>
          </w:tcPr>
          <w:p w:rsidR="00C90C62" w:rsidRPr="00C90C62" w:rsidRDefault="00C90C62" w:rsidP="00C90C62">
            <w:pPr>
              <w:pStyle w:val="ListParagraph"/>
              <w:numPr>
                <w:ilvl w:val="0"/>
                <w:numId w:val="4"/>
              </w:numPr>
              <w:jc w:val="center"/>
              <w:rPr>
                <w:rFonts w:ascii="Arial" w:hAnsi="Arial" w:cs="Arial"/>
                <w:bCs/>
                <w:color w:val="000000"/>
                <w:sz w:val="20"/>
                <w:szCs w:val="20"/>
              </w:rPr>
            </w:pPr>
          </w:p>
        </w:tc>
        <w:tc>
          <w:tcPr>
            <w:tcW w:w="8170" w:type="dxa"/>
          </w:tcPr>
          <w:p w:rsidR="00C90C62" w:rsidRPr="00C90C62" w:rsidRDefault="00C90C62" w:rsidP="00C90C62">
            <w:pPr>
              <w:jc w:val="both"/>
              <w:rPr>
                <w:rFonts w:ascii="Arial" w:hAnsi="Arial" w:cs="Arial"/>
                <w:bCs/>
                <w:color w:val="000000"/>
                <w:sz w:val="20"/>
                <w:szCs w:val="20"/>
              </w:rPr>
            </w:pPr>
            <w:r w:rsidRPr="00C90C62">
              <w:rPr>
                <w:rFonts w:ascii="Arial" w:hAnsi="Arial" w:cs="Arial"/>
                <w:bCs/>
                <w:color w:val="000000"/>
                <w:sz w:val="20"/>
                <w:szCs w:val="20"/>
              </w:rPr>
              <w:t>Scale Based Regulation (SBR) for NBFCs: Capital requirements for Non-Banking Finance Companies – Upper Layer (NBFC-UL)</w:t>
            </w:r>
          </w:p>
        </w:tc>
      </w:tr>
      <w:tr w:rsidR="00C90C62" w:rsidTr="00C90C62">
        <w:tc>
          <w:tcPr>
            <w:tcW w:w="846" w:type="dxa"/>
          </w:tcPr>
          <w:p w:rsidR="00C90C62" w:rsidRPr="00C90C62" w:rsidRDefault="00C90C62" w:rsidP="00C90C62">
            <w:pPr>
              <w:pStyle w:val="ListParagraph"/>
              <w:numPr>
                <w:ilvl w:val="0"/>
                <w:numId w:val="4"/>
              </w:numPr>
              <w:jc w:val="center"/>
              <w:rPr>
                <w:rFonts w:ascii="Arial" w:hAnsi="Arial" w:cs="Arial"/>
                <w:bCs/>
                <w:color w:val="000000"/>
                <w:sz w:val="20"/>
                <w:szCs w:val="20"/>
              </w:rPr>
            </w:pPr>
          </w:p>
        </w:tc>
        <w:tc>
          <w:tcPr>
            <w:tcW w:w="8170" w:type="dxa"/>
          </w:tcPr>
          <w:p w:rsidR="00C90C62" w:rsidRPr="00C90C62" w:rsidRDefault="00C90C62" w:rsidP="00C90C62">
            <w:pPr>
              <w:jc w:val="both"/>
              <w:rPr>
                <w:rFonts w:ascii="Arial" w:hAnsi="Arial" w:cs="Arial"/>
                <w:bCs/>
                <w:color w:val="000000"/>
                <w:sz w:val="20"/>
                <w:szCs w:val="20"/>
              </w:rPr>
            </w:pPr>
            <w:r w:rsidRPr="00C90C62">
              <w:rPr>
                <w:rFonts w:ascii="Arial" w:hAnsi="Arial" w:cs="Arial"/>
                <w:bCs/>
                <w:color w:val="000000"/>
                <w:sz w:val="20"/>
                <w:szCs w:val="20"/>
              </w:rPr>
              <w:t>Loans and Advances – Regulatory Restrictions – NBFCs</w:t>
            </w:r>
          </w:p>
        </w:tc>
      </w:tr>
      <w:tr w:rsidR="00C90C62" w:rsidTr="00C90C62">
        <w:tc>
          <w:tcPr>
            <w:tcW w:w="846" w:type="dxa"/>
          </w:tcPr>
          <w:p w:rsidR="00C90C62" w:rsidRPr="00C90C62" w:rsidRDefault="00C90C62" w:rsidP="00C90C62">
            <w:pPr>
              <w:pStyle w:val="ListParagraph"/>
              <w:numPr>
                <w:ilvl w:val="0"/>
                <w:numId w:val="4"/>
              </w:numPr>
              <w:jc w:val="center"/>
              <w:rPr>
                <w:rFonts w:ascii="Arial" w:hAnsi="Arial" w:cs="Arial"/>
                <w:bCs/>
                <w:color w:val="000000"/>
                <w:sz w:val="20"/>
                <w:szCs w:val="20"/>
              </w:rPr>
            </w:pPr>
          </w:p>
        </w:tc>
        <w:tc>
          <w:tcPr>
            <w:tcW w:w="8170" w:type="dxa"/>
          </w:tcPr>
          <w:p w:rsidR="00C90C62" w:rsidRPr="00C90C62" w:rsidRDefault="00C90C62" w:rsidP="00C90C62">
            <w:pPr>
              <w:jc w:val="both"/>
              <w:rPr>
                <w:rFonts w:ascii="Arial" w:hAnsi="Arial" w:cs="Arial"/>
                <w:bCs/>
                <w:color w:val="000000"/>
                <w:sz w:val="20"/>
                <w:szCs w:val="20"/>
              </w:rPr>
            </w:pPr>
            <w:r w:rsidRPr="00C90C62">
              <w:rPr>
                <w:rFonts w:ascii="Arial" w:hAnsi="Arial" w:cs="Arial"/>
                <w:bCs/>
                <w:color w:val="000000"/>
                <w:sz w:val="20"/>
                <w:szCs w:val="20"/>
              </w:rPr>
              <w:t>Disclosures in Financial Statements- Notes to Accounts of NBFCs</w:t>
            </w:r>
          </w:p>
        </w:tc>
      </w:tr>
      <w:tr w:rsidR="00C90C62" w:rsidTr="00245DE0">
        <w:tc>
          <w:tcPr>
            <w:tcW w:w="846" w:type="dxa"/>
          </w:tcPr>
          <w:p w:rsidR="00C90C62" w:rsidRPr="00C90C62" w:rsidRDefault="00C90C62" w:rsidP="00C90C62">
            <w:pPr>
              <w:pStyle w:val="ListParagraph"/>
              <w:numPr>
                <w:ilvl w:val="0"/>
                <w:numId w:val="4"/>
              </w:numPr>
              <w:jc w:val="center"/>
              <w:rPr>
                <w:rFonts w:ascii="Arial" w:hAnsi="Arial" w:cs="Arial"/>
                <w:bCs/>
                <w:color w:val="000000"/>
                <w:sz w:val="20"/>
                <w:szCs w:val="20"/>
              </w:rPr>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C90C62" w:rsidRPr="00C90C62" w:rsidRDefault="00C90C62" w:rsidP="00C90C62">
            <w:pPr>
              <w:rPr>
                <w:rFonts w:ascii="Arial" w:hAnsi="Arial" w:cs="Arial"/>
                <w:color w:val="000000"/>
                <w:sz w:val="20"/>
                <w:szCs w:val="20"/>
              </w:rPr>
            </w:pPr>
            <w:r w:rsidRPr="00C90C62">
              <w:rPr>
                <w:rFonts w:ascii="Arial" w:hAnsi="Arial" w:cs="Arial"/>
                <w:color w:val="000000"/>
                <w:sz w:val="20"/>
                <w:szCs w:val="20"/>
              </w:rPr>
              <w:t>Compliance Function and Role of Chief Compliance Officer (CCO) – NBFCs</w:t>
            </w:r>
          </w:p>
        </w:tc>
      </w:tr>
      <w:tr w:rsidR="00C90C62" w:rsidTr="00245DE0">
        <w:tc>
          <w:tcPr>
            <w:tcW w:w="846" w:type="dxa"/>
          </w:tcPr>
          <w:p w:rsidR="00C90C62" w:rsidRPr="00C90C62" w:rsidRDefault="00C90C62" w:rsidP="00C90C62">
            <w:pPr>
              <w:pStyle w:val="ListParagraph"/>
              <w:numPr>
                <w:ilvl w:val="0"/>
                <w:numId w:val="4"/>
              </w:numPr>
              <w:jc w:val="center"/>
              <w:rPr>
                <w:rFonts w:ascii="Arial" w:hAnsi="Arial" w:cs="Arial"/>
                <w:bCs/>
                <w:color w:val="000000"/>
                <w:sz w:val="20"/>
                <w:szCs w:val="20"/>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C90C62" w:rsidRPr="00C90C62" w:rsidRDefault="00C90C62" w:rsidP="00C90C62">
            <w:pPr>
              <w:rPr>
                <w:rFonts w:ascii="Arial" w:hAnsi="Arial" w:cs="Arial"/>
                <w:color w:val="000000"/>
                <w:sz w:val="20"/>
                <w:szCs w:val="20"/>
              </w:rPr>
            </w:pPr>
            <w:r w:rsidRPr="00C90C62">
              <w:rPr>
                <w:rFonts w:ascii="Arial" w:hAnsi="Arial" w:cs="Arial"/>
                <w:color w:val="000000"/>
                <w:sz w:val="20"/>
                <w:szCs w:val="20"/>
              </w:rPr>
              <w:t>Section 24 and Section 56 of the Banking Regulation Act, 1949 – Maintenance of Statutory Liquidity Ratio (SLR)</w:t>
            </w:r>
          </w:p>
        </w:tc>
      </w:tr>
      <w:tr w:rsidR="00C90C62" w:rsidTr="00977609">
        <w:tc>
          <w:tcPr>
            <w:tcW w:w="846" w:type="dxa"/>
          </w:tcPr>
          <w:p w:rsidR="00C90C62" w:rsidRPr="00C90C62" w:rsidRDefault="00C90C62" w:rsidP="00C90C62">
            <w:pPr>
              <w:pStyle w:val="ListParagraph"/>
              <w:numPr>
                <w:ilvl w:val="0"/>
                <w:numId w:val="4"/>
              </w:numPr>
              <w:jc w:val="center"/>
              <w:rPr>
                <w:rFonts w:ascii="Arial" w:hAnsi="Arial" w:cs="Arial"/>
                <w:bCs/>
                <w:color w:val="000000"/>
                <w:sz w:val="20"/>
                <w:szCs w:val="20"/>
              </w:rPr>
            </w:pPr>
          </w:p>
        </w:tc>
        <w:tc>
          <w:tcPr>
            <w:tcW w:w="8170" w:type="dxa"/>
            <w:tcBorders>
              <w:top w:val="single" w:sz="4" w:space="0" w:color="auto"/>
              <w:left w:val="single" w:sz="4" w:space="0" w:color="auto"/>
              <w:bottom w:val="single" w:sz="4" w:space="0" w:color="auto"/>
              <w:right w:val="single" w:sz="4" w:space="0" w:color="auto"/>
            </w:tcBorders>
            <w:shd w:val="clear" w:color="auto" w:fill="auto"/>
            <w:vAlign w:val="center"/>
          </w:tcPr>
          <w:p w:rsidR="00C90C62" w:rsidRPr="00C90C62" w:rsidRDefault="00C90C62" w:rsidP="00C90C62">
            <w:pPr>
              <w:rPr>
                <w:rFonts w:ascii="Arial" w:hAnsi="Arial" w:cs="Arial"/>
                <w:color w:val="000000"/>
                <w:sz w:val="20"/>
                <w:szCs w:val="20"/>
              </w:rPr>
            </w:pPr>
            <w:r w:rsidRPr="00C90C62">
              <w:rPr>
                <w:rFonts w:ascii="Arial" w:hAnsi="Arial" w:cs="Arial"/>
                <w:color w:val="000000"/>
                <w:sz w:val="20"/>
                <w:szCs w:val="20"/>
              </w:rPr>
              <w:t>Master Circular - Prudential norms on Income Recognition, Asset Classification and Provisioning pertaining to Advances</w:t>
            </w:r>
          </w:p>
        </w:tc>
      </w:tr>
      <w:tr w:rsidR="00C90C62" w:rsidTr="00977609">
        <w:tc>
          <w:tcPr>
            <w:tcW w:w="846" w:type="dxa"/>
          </w:tcPr>
          <w:p w:rsidR="00C90C62" w:rsidRPr="00C90C62" w:rsidRDefault="00C90C62" w:rsidP="00C90C62">
            <w:pPr>
              <w:pStyle w:val="ListParagraph"/>
              <w:numPr>
                <w:ilvl w:val="0"/>
                <w:numId w:val="4"/>
              </w:numPr>
              <w:jc w:val="center"/>
              <w:rPr>
                <w:rFonts w:ascii="Arial" w:hAnsi="Arial" w:cs="Arial"/>
                <w:bCs/>
                <w:color w:val="000000"/>
                <w:sz w:val="20"/>
                <w:szCs w:val="20"/>
              </w:rPr>
            </w:pPr>
          </w:p>
        </w:tc>
        <w:tc>
          <w:tcPr>
            <w:tcW w:w="8170" w:type="dxa"/>
            <w:tcBorders>
              <w:top w:val="nil"/>
              <w:left w:val="single" w:sz="4" w:space="0" w:color="auto"/>
              <w:bottom w:val="single" w:sz="4" w:space="0" w:color="auto"/>
              <w:right w:val="single" w:sz="4" w:space="0" w:color="auto"/>
            </w:tcBorders>
            <w:shd w:val="clear" w:color="auto" w:fill="auto"/>
            <w:vAlign w:val="center"/>
          </w:tcPr>
          <w:p w:rsidR="00C90C62" w:rsidRPr="00C90C62" w:rsidRDefault="00C90C62" w:rsidP="00C90C62">
            <w:pPr>
              <w:rPr>
                <w:rFonts w:ascii="Arial" w:hAnsi="Arial" w:cs="Arial"/>
                <w:color w:val="000000"/>
                <w:sz w:val="20"/>
                <w:szCs w:val="20"/>
              </w:rPr>
            </w:pPr>
            <w:r w:rsidRPr="00C90C62">
              <w:rPr>
                <w:rFonts w:ascii="Arial" w:hAnsi="Arial" w:cs="Arial"/>
                <w:color w:val="000000"/>
                <w:sz w:val="20"/>
                <w:szCs w:val="20"/>
              </w:rPr>
              <w:t>Master Circular - Bank Finance to Non-Banking Financial Companies (NBFCs)</w:t>
            </w:r>
          </w:p>
        </w:tc>
      </w:tr>
      <w:tr w:rsidR="00C90C62" w:rsidTr="00C90C62">
        <w:tc>
          <w:tcPr>
            <w:tcW w:w="846" w:type="dxa"/>
          </w:tcPr>
          <w:p w:rsidR="00C90C62" w:rsidRPr="00C90C62" w:rsidRDefault="00C90C62" w:rsidP="00C90C62">
            <w:pPr>
              <w:pStyle w:val="ListParagraph"/>
              <w:numPr>
                <w:ilvl w:val="0"/>
                <w:numId w:val="4"/>
              </w:numPr>
              <w:jc w:val="center"/>
              <w:rPr>
                <w:rFonts w:ascii="Arial" w:hAnsi="Arial" w:cs="Arial"/>
                <w:bCs/>
                <w:color w:val="000000"/>
                <w:sz w:val="20"/>
                <w:szCs w:val="20"/>
              </w:rPr>
            </w:pPr>
          </w:p>
        </w:tc>
        <w:tc>
          <w:tcPr>
            <w:tcW w:w="8170" w:type="dxa"/>
          </w:tcPr>
          <w:p w:rsidR="00C90C62" w:rsidRPr="00C90C62" w:rsidRDefault="00C90C62" w:rsidP="00C90C62">
            <w:pPr>
              <w:jc w:val="both"/>
              <w:rPr>
                <w:rFonts w:ascii="Arial" w:hAnsi="Arial" w:cs="Arial"/>
                <w:bCs/>
                <w:color w:val="000000"/>
                <w:sz w:val="20"/>
                <w:szCs w:val="20"/>
              </w:rPr>
            </w:pPr>
            <w:r w:rsidRPr="00C90C62">
              <w:rPr>
                <w:rFonts w:ascii="Arial" w:hAnsi="Arial" w:cs="Arial"/>
                <w:bCs/>
                <w:color w:val="000000"/>
                <w:sz w:val="20"/>
                <w:szCs w:val="20"/>
              </w:rPr>
              <w:t>Bilateral Netting of Qualified Financial Contracts - Amendments to Prudential Guidelines</w:t>
            </w:r>
          </w:p>
        </w:tc>
      </w:tr>
      <w:tr w:rsidR="00C90C62" w:rsidTr="00C90C62">
        <w:tc>
          <w:tcPr>
            <w:tcW w:w="846" w:type="dxa"/>
          </w:tcPr>
          <w:p w:rsidR="00C90C62" w:rsidRPr="00C90C62" w:rsidRDefault="00C90C62" w:rsidP="00C90C62">
            <w:pPr>
              <w:pStyle w:val="ListParagraph"/>
              <w:numPr>
                <w:ilvl w:val="0"/>
                <w:numId w:val="4"/>
              </w:numPr>
              <w:jc w:val="center"/>
              <w:rPr>
                <w:rFonts w:ascii="Arial" w:hAnsi="Arial" w:cs="Arial"/>
                <w:bCs/>
                <w:color w:val="000000"/>
                <w:sz w:val="20"/>
                <w:szCs w:val="20"/>
              </w:rPr>
            </w:pPr>
          </w:p>
        </w:tc>
        <w:tc>
          <w:tcPr>
            <w:tcW w:w="8170" w:type="dxa"/>
          </w:tcPr>
          <w:p w:rsidR="00C90C62" w:rsidRPr="00C90C62" w:rsidRDefault="00C90C62" w:rsidP="00C90C62">
            <w:pPr>
              <w:jc w:val="both"/>
              <w:rPr>
                <w:rFonts w:ascii="Arial" w:hAnsi="Arial" w:cs="Arial"/>
                <w:bCs/>
                <w:color w:val="000000"/>
                <w:sz w:val="20"/>
                <w:szCs w:val="20"/>
              </w:rPr>
            </w:pPr>
            <w:r w:rsidRPr="00C90C62">
              <w:rPr>
                <w:rFonts w:ascii="Arial" w:hAnsi="Arial" w:cs="Arial"/>
                <w:bCs/>
                <w:color w:val="000000"/>
                <w:sz w:val="20"/>
                <w:szCs w:val="20"/>
              </w:rPr>
              <w:t>Master Direction – Reserve Bank of India (Regulatory Framework for Microfinance Loans) Directions, 2022</w:t>
            </w:r>
          </w:p>
        </w:tc>
      </w:tr>
      <w:tr w:rsidR="00C90C62" w:rsidTr="00C90C62">
        <w:tc>
          <w:tcPr>
            <w:tcW w:w="846" w:type="dxa"/>
          </w:tcPr>
          <w:p w:rsidR="00C90C62" w:rsidRPr="00C90C62" w:rsidRDefault="00C90C62" w:rsidP="00C90C62">
            <w:pPr>
              <w:pStyle w:val="ListParagraph"/>
              <w:numPr>
                <w:ilvl w:val="0"/>
                <w:numId w:val="4"/>
              </w:numPr>
              <w:jc w:val="center"/>
              <w:rPr>
                <w:rFonts w:ascii="Arial" w:hAnsi="Arial" w:cs="Arial"/>
                <w:bCs/>
                <w:color w:val="000000"/>
                <w:sz w:val="20"/>
                <w:szCs w:val="20"/>
              </w:rPr>
            </w:pPr>
          </w:p>
        </w:tc>
        <w:tc>
          <w:tcPr>
            <w:tcW w:w="8170" w:type="dxa"/>
          </w:tcPr>
          <w:p w:rsidR="00C90C62" w:rsidRPr="00C90C62" w:rsidRDefault="00C90C62" w:rsidP="00C90C62">
            <w:pPr>
              <w:jc w:val="both"/>
              <w:rPr>
                <w:rFonts w:ascii="Arial" w:hAnsi="Arial" w:cs="Arial"/>
                <w:bCs/>
                <w:color w:val="000000"/>
                <w:sz w:val="20"/>
                <w:szCs w:val="20"/>
              </w:rPr>
            </w:pPr>
            <w:r w:rsidRPr="00C90C62">
              <w:rPr>
                <w:rFonts w:ascii="Arial" w:hAnsi="Arial" w:cs="Arial"/>
                <w:bCs/>
                <w:color w:val="000000"/>
                <w:sz w:val="20"/>
                <w:szCs w:val="20"/>
              </w:rPr>
              <w:t>Implementation of ‘Core Financial Services Solution’ by Non-Banking Financial Companies (NBFCs)</w:t>
            </w:r>
          </w:p>
        </w:tc>
      </w:tr>
      <w:tr w:rsidR="00C90C62" w:rsidTr="00C90C62">
        <w:tc>
          <w:tcPr>
            <w:tcW w:w="846" w:type="dxa"/>
          </w:tcPr>
          <w:p w:rsidR="00C90C62" w:rsidRPr="00C90C62" w:rsidRDefault="00C90C62" w:rsidP="00C90C62">
            <w:pPr>
              <w:pStyle w:val="ListParagraph"/>
              <w:numPr>
                <w:ilvl w:val="0"/>
                <w:numId w:val="4"/>
              </w:numPr>
              <w:jc w:val="center"/>
              <w:rPr>
                <w:rFonts w:ascii="Arial" w:hAnsi="Arial" w:cs="Arial"/>
                <w:bCs/>
                <w:color w:val="000000"/>
                <w:sz w:val="20"/>
                <w:szCs w:val="20"/>
              </w:rPr>
            </w:pPr>
          </w:p>
        </w:tc>
        <w:tc>
          <w:tcPr>
            <w:tcW w:w="8170" w:type="dxa"/>
          </w:tcPr>
          <w:p w:rsidR="00C90C62" w:rsidRPr="00C90C62" w:rsidRDefault="00C90C62" w:rsidP="00C90C62">
            <w:pPr>
              <w:jc w:val="both"/>
              <w:rPr>
                <w:rFonts w:ascii="Arial" w:hAnsi="Arial" w:cs="Arial"/>
                <w:bCs/>
                <w:color w:val="000000"/>
                <w:sz w:val="20"/>
                <w:szCs w:val="20"/>
              </w:rPr>
            </w:pPr>
            <w:r w:rsidRPr="00C90C62">
              <w:rPr>
                <w:rFonts w:ascii="Arial" w:hAnsi="Arial" w:cs="Arial"/>
                <w:bCs/>
                <w:color w:val="000000"/>
                <w:sz w:val="20"/>
                <w:szCs w:val="20"/>
              </w:rPr>
              <w:t>Prudential norms on Income Recognition, Asset Classification and Provisioning pertaining to Advances – Clarifications</w:t>
            </w:r>
          </w:p>
        </w:tc>
      </w:tr>
      <w:tr w:rsidR="00C90C62" w:rsidTr="00C90C62">
        <w:tc>
          <w:tcPr>
            <w:tcW w:w="846" w:type="dxa"/>
          </w:tcPr>
          <w:p w:rsidR="00C90C62" w:rsidRPr="00C90C62" w:rsidRDefault="00C90C62" w:rsidP="00C90C62">
            <w:pPr>
              <w:pStyle w:val="ListParagraph"/>
              <w:numPr>
                <w:ilvl w:val="0"/>
                <w:numId w:val="4"/>
              </w:numPr>
              <w:jc w:val="center"/>
              <w:rPr>
                <w:rFonts w:ascii="Arial" w:hAnsi="Arial" w:cs="Arial"/>
                <w:bCs/>
                <w:color w:val="000000"/>
                <w:sz w:val="20"/>
                <w:szCs w:val="20"/>
              </w:rPr>
            </w:pPr>
          </w:p>
        </w:tc>
        <w:tc>
          <w:tcPr>
            <w:tcW w:w="8170" w:type="dxa"/>
          </w:tcPr>
          <w:p w:rsidR="00C90C62" w:rsidRPr="00C90C62" w:rsidRDefault="00C90C62" w:rsidP="00C90C62">
            <w:pPr>
              <w:jc w:val="both"/>
              <w:rPr>
                <w:rFonts w:ascii="Arial" w:hAnsi="Arial" w:cs="Arial"/>
                <w:bCs/>
                <w:color w:val="000000"/>
                <w:sz w:val="20"/>
                <w:szCs w:val="20"/>
              </w:rPr>
            </w:pPr>
            <w:r w:rsidRPr="00C90C62">
              <w:rPr>
                <w:rFonts w:ascii="Arial" w:hAnsi="Arial" w:cs="Arial"/>
                <w:bCs/>
                <w:color w:val="000000"/>
                <w:sz w:val="20"/>
                <w:szCs w:val="20"/>
              </w:rPr>
              <w:t>Master Circular - Bank Finance to Non-Banking Financial Companies (NBFCs)</w:t>
            </w:r>
          </w:p>
        </w:tc>
      </w:tr>
      <w:tr w:rsidR="00C90C62" w:rsidTr="00C90C62">
        <w:tc>
          <w:tcPr>
            <w:tcW w:w="846" w:type="dxa"/>
          </w:tcPr>
          <w:p w:rsidR="00C90C62" w:rsidRPr="00C90C62" w:rsidRDefault="00C90C62" w:rsidP="00C90C62">
            <w:pPr>
              <w:pStyle w:val="ListParagraph"/>
              <w:numPr>
                <w:ilvl w:val="0"/>
                <w:numId w:val="4"/>
              </w:numPr>
              <w:jc w:val="center"/>
              <w:rPr>
                <w:rFonts w:ascii="Arial" w:hAnsi="Arial" w:cs="Arial"/>
                <w:bCs/>
                <w:color w:val="000000"/>
                <w:sz w:val="20"/>
                <w:szCs w:val="20"/>
              </w:rPr>
            </w:pPr>
          </w:p>
        </w:tc>
        <w:tc>
          <w:tcPr>
            <w:tcW w:w="8170" w:type="dxa"/>
          </w:tcPr>
          <w:p w:rsidR="00C90C62" w:rsidRPr="00C90C62" w:rsidRDefault="00C90C62" w:rsidP="00C90C62">
            <w:pPr>
              <w:jc w:val="both"/>
              <w:rPr>
                <w:rFonts w:ascii="Arial" w:hAnsi="Arial" w:cs="Arial"/>
                <w:bCs/>
                <w:color w:val="000000"/>
                <w:sz w:val="20"/>
                <w:szCs w:val="20"/>
              </w:rPr>
            </w:pPr>
            <w:r w:rsidRPr="00C90C62">
              <w:rPr>
                <w:rFonts w:ascii="Arial" w:hAnsi="Arial" w:cs="Arial"/>
                <w:bCs/>
                <w:color w:val="000000"/>
                <w:sz w:val="20"/>
                <w:szCs w:val="20"/>
              </w:rPr>
              <w:t>Framework for Facilitating Small Value Digital Payments in Offline Mode</w:t>
            </w:r>
          </w:p>
        </w:tc>
      </w:tr>
    </w:tbl>
    <w:p w:rsidR="00C90C62" w:rsidRDefault="00C90C62" w:rsidP="007E2B77">
      <w:pPr>
        <w:jc w:val="both"/>
        <w:rPr>
          <w:rFonts w:ascii="Arial" w:hAnsi="Arial" w:cs="Arial"/>
          <w:b/>
          <w:bCs/>
          <w:color w:val="000000"/>
          <w:sz w:val="20"/>
          <w:szCs w:val="20"/>
        </w:rPr>
      </w:pPr>
    </w:p>
    <w:p w:rsidR="00C90C62" w:rsidRDefault="00C90C62" w:rsidP="007E2B77">
      <w:pPr>
        <w:jc w:val="both"/>
        <w:rPr>
          <w:rFonts w:ascii="Arial" w:hAnsi="Arial" w:cs="Arial"/>
          <w:b/>
          <w:bCs/>
          <w:color w:val="000000"/>
          <w:sz w:val="20"/>
          <w:szCs w:val="20"/>
        </w:rPr>
      </w:pPr>
    </w:p>
    <w:p w:rsidR="00C90C62" w:rsidRDefault="00C90C62" w:rsidP="007E2B77">
      <w:pPr>
        <w:jc w:val="both"/>
        <w:rPr>
          <w:rFonts w:ascii="Arial" w:hAnsi="Arial" w:cs="Arial"/>
          <w:b/>
          <w:bCs/>
          <w:color w:val="000000"/>
          <w:sz w:val="20"/>
          <w:szCs w:val="20"/>
        </w:rPr>
      </w:pPr>
    </w:p>
    <w:p w:rsidR="007E2B77" w:rsidRPr="00470480" w:rsidRDefault="007E2B77" w:rsidP="007E2B77">
      <w:pPr>
        <w:jc w:val="both"/>
        <w:rPr>
          <w:rFonts w:ascii="Arial" w:hAnsi="Arial" w:cs="Arial"/>
          <w:b/>
          <w:bCs/>
          <w:color w:val="000000"/>
          <w:sz w:val="20"/>
          <w:szCs w:val="20"/>
        </w:rPr>
      </w:pPr>
      <w:r w:rsidRPr="00470480">
        <w:rPr>
          <w:rFonts w:ascii="Arial" w:hAnsi="Arial" w:cs="Arial"/>
          <w:b/>
          <w:bCs/>
          <w:color w:val="000000"/>
          <w:sz w:val="20"/>
          <w:szCs w:val="20"/>
        </w:rPr>
        <w:t>Provisioning Requirement for Investment in Security Receipts (SRs)</w:t>
      </w:r>
    </w:p>
    <w:p w:rsidR="007E2B77" w:rsidRPr="00470480" w:rsidRDefault="007E2B77" w:rsidP="007E2B77">
      <w:pPr>
        <w:jc w:val="both"/>
        <w:rPr>
          <w:rFonts w:ascii="Arial" w:hAnsi="Arial" w:cs="Arial"/>
          <w:sz w:val="20"/>
          <w:szCs w:val="20"/>
        </w:rPr>
      </w:pPr>
      <w:r w:rsidRPr="00470480">
        <w:rPr>
          <w:rFonts w:ascii="Arial" w:hAnsi="Arial" w:cs="Arial"/>
          <w:sz w:val="20"/>
          <w:szCs w:val="20"/>
        </w:rPr>
        <w:t>RBI/2022-23/78</w:t>
      </w:r>
      <w:r w:rsidRPr="00470480">
        <w:rPr>
          <w:rFonts w:ascii="Arial" w:hAnsi="Arial" w:cs="Arial"/>
          <w:sz w:val="20"/>
          <w:szCs w:val="20"/>
        </w:rPr>
        <w:br/>
        <w:t>DOR.STR.REC.51/21.04.048/2022-23</w:t>
      </w:r>
    </w:p>
    <w:p w:rsidR="007E2B77" w:rsidRPr="00470480" w:rsidRDefault="007E2B77" w:rsidP="007E2B77">
      <w:pPr>
        <w:jc w:val="both"/>
        <w:rPr>
          <w:rFonts w:ascii="Arial" w:hAnsi="Arial" w:cs="Arial"/>
          <w:sz w:val="20"/>
          <w:szCs w:val="20"/>
        </w:rPr>
      </w:pPr>
      <w:r w:rsidRPr="00470480">
        <w:rPr>
          <w:rFonts w:ascii="Arial" w:hAnsi="Arial" w:cs="Arial"/>
          <w:sz w:val="20"/>
          <w:szCs w:val="20"/>
        </w:rPr>
        <w:t>June 28, 2022</w:t>
      </w:r>
    </w:p>
    <w:p w:rsidR="007E2B77" w:rsidRPr="00470480" w:rsidRDefault="007E2B77" w:rsidP="007E2B77">
      <w:pPr>
        <w:rPr>
          <w:rFonts w:ascii="Arial" w:hAnsi="Arial" w:cs="Arial"/>
          <w:sz w:val="20"/>
          <w:szCs w:val="20"/>
        </w:rPr>
      </w:pPr>
      <w:r w:rsidRPr="00470480">
        <w:rPr>
          <w:rFonts w:ascii="Arial" w:hAnsi="Arial" w:cs="Arial"/>
          <w:sz w:val="20"/>
          <w:szCs w:val="20"/>
        </w:rPr>
        <w:t>All Primary (Urban) Co-operative Banks/State Co-operative Banks/ District Central Co-operative Banks</w:t>
      </w:r>
      <w:r w:rsidRPr="00470480">
        <w:rPr>
          <w:rFonts w:ascii="Arial" w:hAnsi="Arial" w:cs="Arial"/>
          <w:sz w:val="20"/>
          <w:szCs w:val="20"/>
        </w:rPr>
        <w:br/>
        <w:t>All Local Area Banks and Regional Rural Banks</w:t>
      </w:r>
      <w:r w:rsidRPr="00470480">
        <w:rPr>
          <w:rFonts w:ascii="Arial" w:hAnsi="Arial" w:cs="Arial"/>
          <w:sz w:val="20"/>
          <w:szCs w:val="20"/>
        </w:rPr>
        <w:br/>
        <w:t>All All-India Financial Institutions</w:t>
      </w:r>
      <w:r w:rsidRPr="00470480">
        <w:rPr>
          <w:rFonts w:ascii="Arial" w:hAnsi="Arial" w:cs="Arial"/>
          <w:sz w:val="20"/>
          <w:szCs w:val="20"/>
        </w:rPr>
        <w:br/>
        <w:t>All Non-Banking Financial Companies</w:t>
      </w:r>
    </w:p>
    <w:p w:rsidR="007E2B77" w:rsidRPr="00470480" w:rsidRDefault="007E2B77" w:rsidP="007E2B77">
      <w:pPr>
        <w:jc w:val="both"/>
        <w:rPr>
          <w:rFonts w:ascii="Arial" w:hAnsi="Arial" w:cs="Arial"/>
          <w:sz w:val="20"/>
          <w:szCs w:val="20"/>
        </w:rPr>
      </w:pPr>
      <w:r w:rsidRPr="00470480">
        <w:rPr>
          <w:rFonts w:ascii="Arial" w:hAnsi="Arial" w:cs="Arial"/>
          <w:b/>
          <w:bCs/>
          <w:sz w:val="20"/>
          <w:szCs w:val="20"/>
        </w:rPr>
        <w:t>Provisioning Requirement for Investment in Security Receipts (SRs)</w:t>
      </w:r>
    </w:p>
    <w:p w:rsidR="007E2B77" w:rsidRPr="00470480" w:rsidRDefault="007E2B77" w:rsidP="007E2B77">
      <w:pPr>
        <w:jc w:val="both"/>
        <w:rPr>
          <w:rFonts w:ascii="Arial" w:hAnsi="Arial" w:cs="Arial"/>
          <w:sz w:val="20"/>
          <w:szCs w:val="20"/>
        </w:rPr>
      </w:pPr>
      <w:r w:rsidRPr="00470480">
        <w:rPr>
          <w:rFonts w:ascii="Arial" w:hAnsi="Arial" w:cs="Arial"/>
          <w:sz w:val="20"/>
          <w:szCs w:val="20"/>
        </w:rPr>
        <w:t>Please refer to clause 77 of the </w:t>
      </w:r>
      <w:hyperlink r:id="rId5" w:tgtFrame="_blank" w:history="1">
        <w:r w:rsidRPr="00470480">
          <w:rPr>
            <w:rStyle w:val="Hyperlink"/>
            <w:rFonts w:ascii="Arial" w:hAnsi="Arial" w:cs="Arial"/>
            <w:sz w:val="20"/>
            <w:szCs w:val="20"/>
          </w:rPr>
          <w:t>Master Direction – Reserve Bank of India (Transfer of Loan Exposures) Directions, 2021</w:t>
        </w:r>
      </w:hyperlink>
      <w:r w:rsidRPr="00470480">
        <w:rPr>
          <w:rFonts w:ascii="Arial" w:hAnsi="Arial" w:cs="Arial"/>
          <w:sz w:val="20"/>
          <w:szCs w:val="20"/>
        </w:rPr>
        <w:t> (“MD-TLE”).</w:t>
      </w:r>
    </w:p>
    <w:p w:rsidR="007E2B77" w:rsidRPr="00470480" w:rsidRDefault="007E2B77" w:rsidP="007E2B77">
      <w:pPr>
        <w:jc w:val="both"/>
        <w:rPr>
          <w:rFonts w:ascii="Arial" w:hAnsi="Arial" w:cs="Arial"/>
          <w:sz w:val="20"/>
          <w:szCs w:val="20"/>
        </w:rPr>
      </w:pPr>
      <w:r w:rsidRPr="00470480">
        <w:rPr>
          <w:rFonts w:ascii="Arial" w:hAnsi="Arial" w:cs="Arial"/>
          <w:sz w:val="20"/>
          <w:szCs w:val="20"/>
        </w:rPr>
        <w:lastRenderedPageBreak/>
        <w:t>2. In order to provide a glide path to the entities which were kept out of the ambit of </w:t>
      </w:r>
      <w:hyperlink r:id="rId6" w:tgtFrame="_blank" w:history="1">
        <w:r w:rsidRPr="00470480">
          <w:rPr>
            <w:rStyle w:val="Hyperlink"/>
            <w:rFonts w:ascii="Arial" w:hAnsi="Arial" w:cs="Arial"/>
            <w:sz w:val="20"/>
            <w:szCs w:val="20"/>
          </w:rPr>
          <w:t>circular “Guidelines on Sale of Stressed Assets by Banks” dated September 1, 2016</w:t>
        </w:r>
      </w:hyperlink>
      <w:r w:rsidRPr="00470480">
        <w:rPr>
          <w:rFonts w:ascii="Arial" w:hAnsi="Arial" w:cs="Arial"/>
          <w:sz w:val="20"/>
          <w:szCs w:val="20"/>
        </w:rPr>
        <w:t> and ensure smooth implementation of clause 77 of the MD-TLE, it is advised as under in respect of valuation of investments in SRs outstanding on the date of issuance of MD-TLE (September 24, 2021):</w:t>
      </w:r>
    </w:p>
    <w:p w:rsidR="007E2B77" w:rsidRPr="00470480" w:rsidRDefault="007E2B77" w:rsidP="007E2B77">
      <w:pPr>
        <w:numPr>
          <w:ilvl w:val="0"/>
          <w:numId w:val="1"/>
        </w:numPr>
        <w:jc w:val="both"/>
        <w:rPr>
          <w:rFonts w:ascii="Arial" w:hAnsi="Arial" w:cs="Arial"/>
          <w:sz w:val="20"/>
          <w:szCs w:val="20"/>
        </w:rPr>
      </w:pPr>
      <w:r w:rsidRPr="00470480">
        <w:rPr>
          <w:rFonts w:ascii="Arial" w:hAnsi="Arial" w:cs="Arial"/>
          <w:sz w:val="20"/>
          <w:szCs w:val="20"/>
        </w:rPr>
        <w:t>The difference between the carrying value of such SRs and the valuation arrived at as on the next financial reporting date after the date of issuance of MD-TLE, in terms of clause 77 of the MD-TLE, may be provided over a five-year period starting with the financial year ending March 31, 2022 - i.e. from FY2021-22 till FY2025-26.</w:t>
      </w:r>
    </w:p>
    <w:p w:rsidR="007E2B77" w:rsidRPr="00470480" w:rsidRDefault="007E2B77" w:rsidP="007E2B77">
      <w:pPr>
        <w:numPr>
          <w:ilvl w:val="0"/>
          <w:numId w:val="1"/>
        </w:numPr>
        <w:jc w:val="both"/>
        <w:rPr>
          <w:rFonts w:ascii="Arial" w:hAnsi="Arial" w:cs="Arial"/>
          <w:sz w:val="20"/>
          <w:szCs w:val="20"/>
        </w:rPr>
      </w:pPr>
      <w:r w:rsidRPr="00470480">
        <w:rPr>
          <w:rFonts w:ascii="Arial" w:hAnsi="Arial" w:cs="Arial"/>
          <w:sz w:val="20"/>
          <w:szCs w:val="20"/>
        </w:rPr>
        <w:t>Subsequent valuations of investments in such SRs on an ongoing basis shall, however, be strictly in terms of the provisions of MD-TLE.</w:t>
      </w:r>
    </w:p>
    <w:p w:rsidR="007E2B77" w:rsidRPr="00470480" w:rsidRDefault="007E2B77" w:rsidP="007E2B77">
      <w:pPr>
        <w:jc w:val="both"/>
        <w:rPr>
          <w:rFonts w:ascii="Arial" w:hAnsi="Arial" w:cs="Arial"/>
          <w:sz w:val="20"/>
          <w:szCs w:val="20"/>
        </w:rPr>
      </w:pPr>
      <w:r w:rsidRPr="00470480">
        <w:rPr>
          <w:rFonts w:ascii="Arial" w:hAnsi="Arial" w:cs="Arial"/>
          <w:sz w:val="20"/>
          <w:szCs w:val="20"/>
        </w:rPr>
        <w:t>3. All lending institutions shall put in place a board approved plan to ensure that the provisioning made in each of the financial years in compliance of clause 2(a) above is not less than one fifth of the required provisioning on this count.</w:t>
      </w:r>
    </w:p>
    <w:p w:rsidR="007E2B77" w:rsidRPr="00470480" w:rsidRDefault="007E2B77" w:rsidP="007E2B77">
      <w:pPr>
        <w:jc w:val="both"/>
        <w:rPr>
          <w:rFonts w:ascii="Arial" w:hAnsi="Arial" w:cs="Arial"/>
          <w:sz w:val="20"/>
          <w:szCs w:val="20"/>
        </w:rPr>
      </w:pPr>
      <w:r w:rsidRPr="00470480">
        <w:rPr>
          <w:rFonts w:ascii="Arial" w:hAnsi="Arial" w:cs="Arial"/>
          <w:sz w:val="20"/>
          <w:szCs w:val="20"/>
        </w:rPr>
        <w:t>4. Valuation of investments in SRs made after the issuance of MD-TLE shall be strictly in terms of the provisions thereunder.</w:t>
      </w:r>
    </w:p>
    <w:p w:rsidR="007E2B77" w:rsidRPr="00470480" w:rsidRDefault="007E2B77" w:rsidP="007E2B77">
      <w:pPr>
        <w:jc w:val="both"/>
        <w:rPr>
          <w:rFonts w:ascii="Arial" w:hAnsi="Arial" w:cs="Arial"/>
          <w:sz w:val="20"/>
          <w:szCs w:val="20"/>
        </w:rPr>
      </w:pPr>
      <w:r w:rsidRPr="00470480">
        <w:rPr>
          <w:rFonts w:ascii="Arial" w:hAnsi="Arial" w:cs="Arial"/>
          <w:sz w:val="20"/>
          <w:szCs w:val="20"/>
        </w:rPr>
        <w:t>5. All other provisions of the MD-TLE shall continue to be applicable, as hitherto.</w:t>
      </w:r>
    </w:p>
    <w:p w:rsidR="007E2B77" w:rsidRPr="00470480" w:rsidRDefault="007E2B77" w:rsidP="007E2B77">
      <w:pPr>
        <w:jc w:val="both"/>
        <w:rPr>
          <w:rFonts w:ascii="Arial" w:hAnsi="Arial" w:cs="Arial"/>
          <w:sz w:val="20"/>
          <w:szCs w:val="20"/>
        </w:rPr>
      </w:pPr>
      <w:r w:rsidRPr="00470480">
        <w:rPr>
          <w:rFonts w:ascii="Arial" w:hAnsi="Arial" w:cs="Arial"/>
          <w:sz w:val="20"/>
          <w:szCs w:val="20"/>
        </w:rPr>
        <w:t>Yours faithfully,</w:t>
      </w:r>
    </w:p>
    <w:p w:rsidR="007E2B77" w:rsidRPr="00470480" w:rsidRDefault="007E2B77" w:rsidP="007E2B77">
      <w:pPr>
        <w:rPr>
          <w:rFonts w:ascii="Arial" w:hAnsi="Arial" w:cs="Arial"/>
          <w:sz w:val="20"/>
          <w:szCs w:val="20"/>
        </w:rPr>
      </w:pPr>
      <w:r w:rsidRPr="00470480">
        <w:rPr>
          <w:rFonts w:ascii="Arial" w:hAnsi="Arial" w:cs="Arial"/>
          <w:sz w:val="20"/>
          <w:szCs w:val="20"/>
        </w:rPr>
        <w:t>(</w:t>
      </w:r>
      <w:proofErr w:type="spellStart"/>
      <w:r w:rsidRPr="00470480">
        <w:rPr>
          <w:rFonts w:ascii="Arial" w:hAnsi="Arial" w:cs="Arial"/>
          <w:sz w:val="20"/>
          <w:szCs w:val="20"/>
        </w:rPr>
        <w:t>Manoranjan</w:t>
      </w:r>
      <w:proofErr w:type="spellEnd"/>
      <w:r w:rsidRPr="00470480">
        <w:rPr>
          <w:rFonts w:ascii="Arial" w:hAnsi="Arial" w:cs="Arial"/>
          <w:sz w:val="20"/>
          <w:szCs w:val="20"/>
        </w:rPr>
        <w:t xml:space="preserve"> Mishra)</w:t>
      </w:r>
      <w:r w:rsidRPr="00470480">
        <w:rPr>
          <w:rFonts w:ascii="Arial" w:hAnsi="Arial" w:cs="Arial"/>
          <w:sz w:val="20"/>
          <w:szCs w:val="20"/>
        </w:rPr>
        <w:br/>
        <w:t>Chief General Manager</w:t>
      </w:r>
    </w:p>
    <w:p w:rsidR="007E2B77" w:rsidRPr="00470480" w:rsidRDefault="007E2B77" w:rsidP="007E2B77">
      <w:pPr>
        <w:jc w:val="both"/>
        <w:rPr>
          <w:rFonts w:ascii="Arial" w:hAnsi="Arial" w:cs="Arial"/>
          <w:sz w:val="20"/>
          <w:szCs w:val="20"/>
        </w:rPr>
      </w:pPr>
    </w:p>
    <w:p w:rsidR="007E2B77" w:rsidRPr="00470480" w:rsidRDefault="007E2B77" w:rsidP="007E2B77">
      <w:pPr>
        <w:rPr>
          <w:rFonts w:ascii="Arial" w:hAnsi="Arial" w:cs="Arial"/>
          <w:sz w:val="20"/>
          <w:szCs w:val="20"/>
        </w:rPr>
      </w:pPr>
      <w:r w:rsidRPr="00470480">
        <w:rPr>
          <w:rFonts w:ascii="Arial" w:hAnsi="Arial" w:cs="Arial"/>
          <w:sz w:val="20"/>
          <w:szCs w:val="20"/>
        </w:rPr>
        <w:t xml:space="preserve">Reference Link: </w:t>
      </w:r>
      <w:hyperlink r:id="rId7" w:history="1">
        <w:r w:rsidRPr="00470480">
          <w:rPr>
            <w:rStyle w:val="Hyperlink"/>
            <w:rFonts w:ascii="Arial" w:hAnsi="Arial" w:cs="Arial"/>
            <w:sz w:val="20"/>
            <w:szCs w:val="20"/>
          </w:rPr>
          <w:t>https://www.rbi.org.in/Scripts/NotificationUser.aspx?Id=12346&amp;Mode=0</w:t>
        </w:r>
      </w:hyperlink>
    </w:p>
    <w:p w:rsidR="007E2B77" w:rsidRPr="00470480" w:rsidRDefault="007E2B77" w:rsidP="007E2B77">
      <w:pPr>
        <w:rPr>
          <w:rFonts w:ascii="Arial" w:hAnsi="Arial" w:cs="Arial"/>
          <w:sz w:val="20"/>
          <w:szCs w:val="20"/>
        </w:rPr>
      </w:pPr>
    </w:p>
    <w:p w:rsidR="007E2B77" w:rsidRDefault="007E2B77">
      <w:r>
        <w:br w:type="page"/>
      </w:r>
    </w:p>
    <w:p w:rsidR="007E2B77" w:rsidRPr="00470480" w:rsidRDefault="007E2B77" w:rsidP="007E2B77">
      <w:pPr>
        <w:jc w:val="both"/>
        <w:rPr>
          <w:rFonts w:ascii="Arial" w:hAnsi="Arial" w:cs="Arial"/>
          <w:b/>
          <w:bCs/>
          <w:color w:val="000000"/>
          <w:sz w:val="20"/>
          <w:szCs w:val="20"/>
        </w:rPr>
      </w:pPr>
      <w:r w:rsidRPr="00470480">
        <w:rPr>
          <w:rFonts w:ascii="Arial" w:hAnsi="Arial" w:cs="Arial"/>
          <w:b/>
          <w:bCs/>
          <w:color w:val="000000"/>
          <w:sz w:val="20"/>
          <w:szCs w:val="20"/>
        </w:rPr>
        <w:lastRenderedPageBreak/>
        <w:t>Extension of timeline for implementation of certain provisions of Master Direction – Credit Card and Debit Card – Issuance and Conduct Directions, 2022</w:t>
      </w:r>
    </w:p>
    <w:p w:rsidR="007E2B77" w:rsidRPr="00470480" w:rsidRDefault="007E2B77" w:rsidP="007E2B77">
      <w:pPr>
        <w:jc w:val="both"/>
        <w:rPr>
          <w:rFonts w:ascii="Arial" w:hAnsi="Arial" w:cs="Arial"/>
          <w:sz w:val="20"/>
          <w:szCs w:val="20"/>
        </w:rPr>
      </w:pPr>
      <w:r w:rsidRPr="00470480">
        <w:rPr>
          <w:rFonts w:ascii="Arial" w:hAnsi="Arial" w:cs="Arial"/>
          <w:sz w:val="20"/>
          <w:szCs w:val="20"/>
        </w:rPr>
        <w:t>RBI/2022-23/74</w:t>
      </w:r>
      <w:r w:rsidRPr="00470480">
        <w:rPr>
          <w:rFonts w:ascii="Arial" w:hAnsi="Arial" w:cs="Arial"/>
          <w:sz w:val="20"/>
          <w:szCs w:val="20"/>
        </w:rPr>
        <w:br/>
        <w:t>DoR.AUT.REC.No.48/24.01.041/2022-23</w:t>
      </w:r>
    </w:p>
    <w:p w:rsidR="007E2B77" w:rsidRPr="00470480" w:rsidRDefault="007E2B77" w:rsidP="007E2B77">
      <w:pPr>
        <w:jc w:val="both"/>
        <w:rPr>
          <w:rFonts w:ascii="Arial" w:hAnsi="Arial" w:cs="Arial"/>
          <w:sz w:val="20"/>
          <w:szCs w:val="20"/>
        </w:rPr>
      </w:pPr>
      <w:r w:rsidRPr="00470480">
        <w:rPr>
          <w:rFonts w:ascii="Arial" w:hAnsi="Arial" w:cs="Arial"/>
          <w:sz w:val="20"/>
          <w:szCs w:val="20"/>
        </w:rPr>
        <w:t>June 21, 2022</w:t>
      </w:r>
    </w:p>
    <w:p w:rsidR="007E2B77" w:rsidRPr="00470480" w:rsidRDefault="007E2B77" w:rsidP="007E2B77">
      <w:pPr>
        <w:jc w:val="both"/>
        <w:rPr>
          <w:rFonts w:ascii="Arial" w:hAnsi="Arial" w:cs="Arial"/>
          <w:sz w:val="20"/>
          <w:szCs w:val="20"/>
        </w:rPr>
      </w:pPr>
      <w:r w:rsidRPr="00470480">
        <w:rPr>
          <w:rFonts w:ascii="Arial" w:hAnsi="Arial" w:cs="Arial"/>
          <w:sz w:val="20"/>
          <w:szCs w:val="20"/>
        </w:rPr>
        <w:t>All Scheduled Banks (excluding Payments Banks/State Co-operative Banks and District Central Co-operative Banks)</w:t>
      </w:r>
      <w:r w:rsidRPr="00470480">
        <w:rPr>
          <w:rFonts w:ascii="Arial" w:hAnsi="Arial" w:cs="Arial"/>
          <w:sz w:val="20"/>
          <w:szCs w:val="20"/>
        </w:rPr>
        <w:br/>
        <w:t>All Non-Banking Financial Companies (NBFCs)</w:t>
      </w:r>
    </w:p>
    <w:p w:rsidR="007E2B77" w:rsidRPr="00470480" w:rsidRDefault="007E2B77" w:rsidP="007E2B77">
      <w:pPr>
        <w:jc w:val="both"/>
        <w:rPr>
          <w:rFonts w:ascii="Arial" w:hAnsi="Arial" w:cs="Arial"/>
          <w:sz w:val="20"/>
          <w:szCs w:val="20"/>
        </w:rPr>
      </w:pPr>
      <w:r w:rsidRPr="00470480">
        <w:rPr>
          <w:rFonts w:ascii="Arial" w:hAnsi="Arial" w:cs="Arial"/>
          <w:sz w:val="20"/>
          <w:szCs w:val="20"/>
        </w:rPr>
        <w:t>Madam/Dear Sir</w:t>
      </w:r>
    </w:p>
    <w:p w:rsidR="007E2B77" w:rsidRPr="00470480" w:rsidRDefault="007E2B77" w:rsidP="007E2B77">
      <w:pPr>
        <w:jc w:val="both"/>
        <w:rPr>
          <w:rFonts w:ascii="Arial" w:hAnsi="Arial" w:cs="Arial"/>
          <w:b/>
          <w:bCs/>
          <w:sz w:val="20"/>
          <w:szCs w:val="20"/>
        </w:rPr>
      </w:pPr>
      <w:r w:rsidRPr="00470480">
        <w:rPr>
          <w:rFonts w:ascii="Arial" w:hAnsi="Arial" w:cs="Arial"/>
          <w:b/>
          <w:bCs/>
          <w:sz w:val="20"/>
          <w:szCs w:val="20"/>
        </w:rPr>
        <w:t>Extension of timeline for implementation of certain provisions of Master Direction – Credit</w:t>
      </w:r>
      <w:r w:rsidRPr="00470480">
        <w:rPr>
          <w:rFonts w:ascii="Arial" w:hAnsi="Arial" w:cs="Arial"/>
          <w:b/>
          <w:bCs/>
          <w:sz w:val="20"/>
          <w:szCs w:val="20"/>
        </w:rPr>
        <w:br/>
        <w:t>Card and Debit Card – Issuance and Conduct Directions, 2022</w:t>
      </w:r>
    </w:p>
    <w:p w:rsidR="007E2B77" w:rsidRPr="00470480" w:rsidRDefault="007E2B77" w:rsidP="007E2B77">
      <w:pPr>
        <w:jc w:val="both"/>
        <w:rPr>
          <w:rFonts w:ascii="Arial" w:hAnsi="Arial" w:cs="Arial"/>
          <w:sz w:val="20"/>
          <w:szCs w:val="20"/>
        </w:rPr>
      </w:pPr>
      <w:r w:rsidRPr="00470480">
        <w:rPr>
          <w:rFonts w:ascii="Arial" w:hAnsi="Arial" w:cs="Arial"/>
          <w:sz w:val="20"/>
          <w:szCs w:val="20"/>
        </w:rPr>
        <w:t>Please refer to paragraph 1 (b) of the </w:t>
      </w:r>
      <w:hyperlink r:id="rId8" w:tgtFrame="_blank" w:history="1">
        <w:r w:rsidRPr="00470480">
          <w:rPr>
            <w:rStyle w:val="Hyperlink"/>
            <w:rFonts w:ascii="Arial" w:hAnsi="Arial" w:cs="Arial"/>
            <w:sz w:val="20"/>
            <w:szCs w:val="20"/>
          </w:rPr>
          <w:t>Master Direction – Credit Card and Debit Card – Issuance and Conduct Directions, 2022</w:t>
        </w:r>
      </w:hyperlink>
      <w:r w:rsidRPr="00470480">
        <w:rPr>
          <w:rFonts w:ascii="Arial" w:hAnsi="Arial" w:cs="Arial"/>
          <w:sz w:val="20"/>
          <w:szCs w:val="20"/>
        </w:rPr>
        <w:t> (“Master Direction”) dated April 21, 2022, wherein the Reserve Bank had prescribed a timeline of July 01, 2022, for implementation of the provisions of the Master Direction.</w:t>
      </w:r>
    </w:p>
    <w:p w:rsidR="007E2B77" w:rsidRPr="00470480" w:rsidRDefault="007E2B77" w:rsidP="007E2B77">
      <w:pPr>
        <w:jc w:val="both"/>
        <w:rPr>
          <w:rFonts w:ascii="Arial" w:hAnsi="Arial" w:cs="Arial"/>
          <w:sz w:val="20"/>
          <w:szCs w:val="20"/>
        </w:rPr>
      </w:pPr>
      <w:r w:rsidRPr="00470480">
        <w:rPr>
          <w:rFonts w:ascii="Arial" w:hAnsi="Arial" w:cs="Arial"/>
          <w:sz w:val="20"/>
          <w:szCs w:val="20"/>
        </w:rPr>
        <w:t>2. Considering various representations received from the industry stakeholders, it has been decided to extend the timeline for implementation of the following provisions of the Master Direction to October 01, 2022:</w:t>
      </w:r>
    </w:p>
    <w:p w:rsidR="007E2B77" w:rsidRPr="00470480" w:rsidRDefault="007E2B77" w:rsidP="007E2B77">
      <w:pPr>
        <w:numPr>
          <w:ilvl w:val="0"/>
          <w:numId w:val="2"/>
        </w:numPr>
        <w:jc w:val="both"/>
        <w:rPr>
          <w:rFonts w:ascii="Arial" w:hAnsi="Arial" w:cs="Arial"/>
          <w:sz w:val="20"/>
          <w:szCs w:val="20"/>
        </w:rPr>
      </w:pPr>
      <w:r w:rsidRPr="00470480">
        <w:rPr>
          <w:rFonts w:ascii="Arial" w:hAnsi="Arial" w:cs="Arial"/>
          <w:sz w:val="20"/>
          <w:szCs w:val="20"/>
          <w:u w:val="single"/>
        </w:rPr>
        <w:t>Paragraph 6(a)(vi)</w:t>
      </w:r>
      <w:r w:rsidRPr="00470480">
        <w:rPr>
          <w:rFonts w:ascii="Arial" w:hAnsi="Arial" w:cs="Arial"/>
          <w:sz w:val="20"/>
          <w:szCs w:val="20"/>
        </w:rPr>
        <w:t> - Card-issuers shall seek One Time Password (OTP) based consent from the cardholder for activating a credit card, if the same has not been activated by the customer for more than 30 days from the date of issuance. If no consent is received for activating the card, card-issuers shall close the credit card account without any cost to the customer within seven working days from date of seeking confirmation from the customer.</w:t>
      </w:r>
    </w:p>
    <w:p w:rsidR="007E2B77" w:rsidRPr="00470480" w:rsidRDefault="007E2B77" w:rsidP="007E2B77">
      <w:pPr>
        <w:numPr>
          <w:ilvl w:val="0"/>
          <w:numId w:val="2"/>
        </w:numPr>
        <w:jc w:val="both"/>
        <w:rPr>
          <w:rFonts w:ascii="Arial" w:hAnsi="Arial" w:cs="Arial"/>
          <w:sz w:val="20"/>
          <w:szCs w:val="20"/>
        </w:rPr>
      </w:pPr>
      <w:r w:rsidRPr="00470480">
        <w:rPr>
          <w:rFonts w:ascii="Arial" w:hAnsi="Arial" w:cs="Arial"/>
          <w:sz w:val="20"/>
          <w:szCs w:val="20"/>
          <w:u w:val="single"/>
        </w:rPr>
        <w:t>Paragraph 6(b)(v)</w:t>
      </w:r>
      <w:r w:rsidRPr="00470480">
        <w:rPr>
          <w:rFonts w:ascii="Arial" w:hAnsi="Arial" w:cs="Arial"/>
          <w:sz w:val="20"/>
          <w:szCs w:val="20"/>
        </w:rPr>
        <w:t> - Card-issuers shall ensure that the credit limit as sanctioned and advised to the cardholder is not breached at any point in time without seeking explicit consent from the cardholder.</w:t>
      </w:r>
    </w:p>
    <w:p w:rsidR="007E2B77" w:rsidRPr="00470480" w:rsidRDefault="007E2B77" w:rsidP="007E2B77">
      <w:pPr>
        <w:numPr>
          <w:ilvl w:val="0"/>
          <w:numId w:val="2"/>
        </w:numPr>
        <w:jc w:val="both"/>
        <w:rPr>
          <w:rFonts w:ascii="Arial" w:hAnsi="Arial" w:cs="Arial"/>
          <w:sz w:val="20"/>
          <w:szCs w:val="20"/>
        </w:rPr>
      </w:pPr>
      <w:r w:rsidRPr="00470480">
        <w:rPr>
          <w:rFonts w:ascii="Arial" w:hAnsi="Arial" w:cs="Arial"/>
          <w:sz w:val="20"/>
          <w:szCs w:val="20"/>
          <w:u w:val="single"/>
        </w:rPr>
        <w:t>Paragraph 9(b)(ii)</w:t>
      </w:r>
      <w:r w:rsidRPr="00470480">
        <w:rPr>
          <w:rFonts w:ascii="Arial" w:hAnsi="Arial" w:cs="Arial"/>
          <w:sz w:val="20"/>
          <w:szCs w:val="20"/>
        </w:rPr>
        <w:t> - No capitalization of unpaid charges/levies/taxes for charging/ compounding of interest.</w:t>
      </w:r>
    </w:p>
    <w:p w:rsidR="007E2B77" w:rsidRPr="00470480" w:rsidRDefault="007E2B77" w:rsidP="007E2B77">
      <w:pPr>
        <w:jc w:val="both"/>
        <w:rPr>
          <w:rFonts w:ascii="Arial" w:hAnsi="Arial" w:cs="Arial"/>
          <w:sz w:val="20"/>
          <w:szCs w:val="20"/>
        </w:rPr>
      </w:pPr>
      <w:r w:rsidRPr="00470480">
        <w:rPr>
          <w:rFonts w:ascii="Arial" w:hAnsi="Arial" w:cs="Arial"/>
          <w:sz w:val="20"/>
          <w:szCs w:val="20"/>
        </w:rPr>
        <w:t>3. The stipulated timeline for implementation of rest of the provisions of the Master Direction remains unchanged.</w:t>
      </w:r>
    </w:p>
    <w:p w:rsidR="007E2B77" w:rsidRPr="00470480" w:rsidRDefault="007E2B77" w:rsidP="007E2B77">
      <w:pPr>
        <w:jc w:val="both"/>
        <w:rPr>
          <w:rFonts w:ascii="Arial" w:hAnsi="Arial" w:cs="Arial"/>
          <w:sz w:val="20"/>
          <w:szCs w:val="20"/>
        </w:rPr>
      </w:pPr>
      <w:r w:rsidRPr="00470480">
        <w:rPr>
          <w:rFonts w:ascii="Arial" w:hAnsi="Arial" w:cs="Arial"/>
          <w:sz w:val="20"/>
          <w:szCs w:val="20"/>
        </w:rPr>
        <w:t>Yours faithfully</w:t>
      </w:r>
    </w:p>
    <w:p w:rsidR="007E2B77" w:rsidRPr="00470480" w:rsidRDefault="007E2B77" w:rsidP="007E2B77">
      <w:pPr>
        <w:rPr>
          <w:rFonts w:ascii="Arial" w:hAnsi="Arial" w:cs="Arial"/>
          <w:sz w:val="20"/>
          <w:szCs w:val="20"/>
        </w:rPr>
      </w:pPr>
      <w:r w:rsidRPr="00470480">
        <w:rPr>
          <w:rFonts w:ascii="Arial" w:hAnsi="Arial" w:cs="Arial"/>
          <w:b/>
          <w:bCs/>
          <w:sz w:val="20"/>
          <w:szCs w:val="20"/>
        </w:rPr>
        <w:t xml:space="preserve">(Prakash </w:t>
      </w:r>
      <w:proofErr w:type="spellStart"/>
      <w:r w:rsidRPr="00470480">
        <w:rPr>
          <w:rFonts w:ascii="Arial" w:hAnsi="Arial" w:cs="Arial"/>
          <w:b/>
          <w:bCs/>
          <w:sz w:val="20"/>
          <w:szCs w:val="20"/>
        </w:rPr>
        <w:t>Baliarsingh</w:t>
      </w:r>
      <w:proofErr w:type="spellEnd"/>
      <w:r w:rsidRPr="00470480">
        <w:rPr>
          <w:rFonts w:ascii="Arial" w:hAnsi="Arial" w:cs="Arial"/>
          <w:b/>
          <w:bCs/>
          <w:sz w:val="20"/>
          <w:szCs w:val="20"/>
        </w:rPr>
        <w:t>)</w:t>
      </w:r>
      <w:r w:rsidRPr="00470480">
        <w:rPr>
          <w:rFonts w:ascii="Arial" w:hAnsi="Arial" w:cs="Arial"/>
          <w:sz w:val="20"/>
          <w:szCs w:val="20"/>
        </w:rPr>
        <w:br/>
        <w:t>Chief General Manager</w:t>
      </w:r>
    </w:p>
    <w:p w:rsidR="007E2B77" w:rsidRDefault="007E2B77" w:rsidP="007E2B77">
      <w:pPr>
        <w:jc w:val="both"/>
        <w:rPr>
          <w:rFonts w:ascii="Arial" w:hAnsi="Arial" w:cs="Arial"/>
          <w:sz w:val="20"/>
          <w:szCs w:val="20"/>
        </w:rPr>
      </w:pPr>
    </w:p>
    <w:p w:rsidR="007E2B77" w:rsidRDefault="007E2B77" w:rsidP="007E2B77">
      <w:pPr>
        <w:jc w:val="both"/>
        <w:rPr>
          <w:rFonts w:ascii="Arial" w:hAnsi="Arial" w:cs="Arial"/>
          <w:sz w:val="20"/>
          <w:szCs w:val="20"/>
        </w:rPr>
      </w:pPr>
    </w:p>
    <w:p w:rsidR="007E2B77" w:rsidRPr="00470480" w:rsidRDefault="007E2B77" w:rsidP="007E2B77">
      <w:pPr>
        <w:jc w:val="both"/>
        <w:rPr>
          <w:rFonts w:ascii="Arial" w:hAnsi="Arial" w:cs="Arial"/>
          <w:sz w:val="20"/>
          <w:szCs w:val="20"/>
        </w:rPr>
      </w:pPr>
      <w:r w:rsidRPr="00470480">
        <w:rPr>
          <w:rFonts w:ascii="Arial" w:hAnsi="Arial" w:cs="Arial"/>
          <w:sz w:val="20"/>
          <w:szCs w:val="20"/>
        </w:rPr>
        <w:t xml:space="preserve">Reference Link: </w:t>
      </w:r>
      <w:hyperlink r:id="rId9" w:history="1">
        <w:r w:rsidRPr="00470480">
          <w:rPr>
            <w:rStyle w:val="Hyperlink"/>
            <w:rFonts w:ascii="Arial" w:hAnsi="Arial" w:cs="Arial"/>
            <w:sz w:val="20"/>
            <w:szCs w:val="20"/>
          </w:rPr>
          <w:t>https://www.rbi.org.in/Scripts/NotificationUser.aspx?Id=12342&amp;Mode=0</w:t>
        </w:r>
      </w:hyperlink>
    </w:p>
    <w:p w:rsidR="007E2B77" w:rsidRPr="00470480" w:rsidRDefault="007E2B77" w:rsidP="007E2B77">
      <w:pPr>
        <w:jc w:val="both"/>
        <w:rPr>
          <w:rFonts w:ascii="Arial" w:hAnsi="Arial" w:cs="Arial"/>
          <w:sz w:val="20"/>
          <w:szCs w:val="20"/>
        </w:rPr>
      </w:pPr>
    </w:p>
    <w:p w:rsidR="007E2B77" w:rsidRPr="00470480" w:rsidRDefault="007E2B77" w:rsidP="007E2B77">
      <w:pPr>
        <w:jc w:val="both"/>
        <w:rPr>
          <w:rFonts w:ascii="Arial" w:hAnsi="Arial" w:cs="Arial"/>
          <w:sz w:val="20"/>
          <w:szCs w:val="20"/>
        </w:rPr>
      </w:pPr>
    </w:p>
    <w:p w:rsidR="007E2B77" w:rsidRPr="00470480" w:rsidRDefault="007E2B77" w:rsidP="007E2B77">
      <w:pPr>
        <w:jc w:val="both"/>
        <w:rPr>
          <w:rFonts w:ascii="Arial" w:hAnsi="Arial" w:cs="Arial"/>
          <w:sz w:val="20"/>
          <w:szCs w:val="20"/>
        </w:rPr>
      </w:pPr>
    </w:p>
    <w:p w:rsidR="007E2B77" w:rsidRPr="00470480" w:rsidRDefault="007E2B77" w:rsidP="007E2B77">
      <w:pPr>
        <w:jc w:val="both"/>
        <w:rPr>
          <w:rFonts w:ascii="Arial" w:hAnsi="Arial" w:cs="Arial"/>
          <w:sz w:val="20"/>
          <w:szCs w:val="20"/>
        </w:rPr>
      </w:pPr>
    </w:p>
    <w:p w:rsidR="007E2B77" w:rsidRPr="00470480" w:rsidRDefault="007E2B77" w:rsidP="007E2B77">
      <w:pPr>
        <w:jc w:val="both"/>
        <w:rPr>
          <w:rFonts w:ascii="Arial" w:hAnsi="Arial" w:cs="Arial"/>
          <w:sz w:val="20"/>
          <w:szCs w:val="20"/>
        </w:rPr>
      </w:pPr>
    </w:p>
    <w:p w:rsidR="007E2B77" w:rsidRPr="00470480" w:rsidRDefault="007E2B77" w:rsidP="007E2B77">
      <w:pPr>
        <w:jc w:val="both"/>
        <w:rPr>
          <w:rFonts w:ascii="Arial" w:hAnsi="Arial" w:cs="Arial"/>
          <w:sz w:val="20"/>
          <w:szCs w:val="20"/>
        </w:rPr>
      </w:pPr>
    </w:p>
    <w:p w:rsidR="007E2B77" w:rsidRPr="00470480" w:rsidRDefault="007E2B77" w:rsidP="007E2B77">
      <w:pPr>
        <w:jc w:val="both"/>
        <w:rPr>
          <w:rFonts w:ascii="Arial" w:hAnsi="Arial" w:cs="Arial"/>
          <w:b/>
          <w:bCs/>
          <w:color w:val="000000"/>
          <w:sz w:val="20"/>
          <w:szCs w:val="20"/>
        </w:rPr>
      </w:pPr>
      <w:r w:rsidRPr="00470480">
        <w:rPr>
          <w:rFonts w:ascii="Arial" w:hAnsi="Arial" w:cs="Arial"/>
          <w:b/>
          <w:bCs/>
          <w:color w:val="000000"/>
          <w:sz w:val="20"/>
          <w:szCs w:val="20"/>
        </w:rPr>
        <w:lastRenderedPageBreak/>
        <w:t>Processing of e-mandates for recurring transactions</w:t>
      </w:r>
    </w:p>
    <w:p w:rsidR="007E2B77" w:rsidRPr="00470480" w:rsidRDefault="007E2B77" w:rsidP="007E2B77">
      <w:pPr>
        <w:jc w:val="both"/>
        <w:rPr>
          <w:rFonts w:ascii="Arial" w:hAnsi="Arial" w:cs="Arial"/>
          <w:sz w:val="20"/>
          <w:szCs w:val="20"/>
        </w:rPr>
      </w:pPr>
      <w:r w:rsidRPr="00470480">
        <w:rPr>
          <w:rFonts w:ascii="Arial" w:hAnsi="Arial" w:cs="Arial"/>
          <w:sz w:val="20"/>
          <w:szCs w:val="20"/>
        </w:rPr>
        <w:t>RBI/2022-23/73</w:t>
      </w:r>
      <w:r w:rsidRPr="00470480">
        <w:rPr>
          <w:rFonts w:ascii="Arial" w:hAnsi="Arial" w:cs="Arial"/>
          <w:sz w:val="20"/>
          <w:szCs w:val="20"/>
        </w:rPr>
        <w:br/>
        <w:t>CO.DPSS.POLC.No.S-518/02.14.003/2022-23</w:t>
      </w:r>
    </w:p>
    <w:p w:rsidR="007E2B77" w:rsidRPr="00470480" w:rsidRDefault="007E2B77" w:rsidP="007E2B77">
      <w:pPr>
        <w:jc w:val="both"/>
        <w:rPr>
          <w:rFonts w:ascii="Arial" w:hAnsi="Arial" w:cs="Arial"/>
          <w:sz w:val="20"/>
          <w:szCs w:val="20"/>
        </w:rPr>
      </w:pPr>
      <w:r w:rsidRPr="00470480">
        <w:rPr>
          <w:rFonts w:ascii="Arial" w:hAnsi="Arial" w:cs="Arial"/>
          <w:sz w:val="20"/>
          <w:szCs w:val="20"/>
        </w:rPr>
        <w:t>June 16, 2022</w:t>
      </w:r>
    </w:p>
    <w:p w:rsidR="007E2B77" w:rsidRPr="00470480" w:rsidRDefault="007E2B77" w:rsidP="007E2B77">
      <w:pPr>
        <w:rPr>
          <w:rFonts w:ascii="Arial" w:hAnsi="Arial" w:cs="Arial"/>
          <w:sz w:val="20"/>
          <w:szCs w:val="20"/>
        </w:rPr>
      </w:pPr>
      <w:r w:rsidRPr="00470480">
        <w:rPr>
          <w:rFonts w:ascii="Arial" w:hAnsi="Arial" w:cs="Arial"/>
          <w:sz w:val="20"/>
          <w:szCs w:val="20"/>
        </w:rPr>
        <w:t>The Chairman / Managing Director / Chief Executive Officer</w:t>
      </w:r>
      <w:r w:rsidRPr="00470480">
        <w:rPr>
          <w:rFonts w:ascii="Arial" w:hAnsi="Arial" w:cs="Arial"/>
          <w:sz w:val="20"/>
          <w:szCs w:val="20"/>
        </w:rPr>
        <w:br/>
        <w:t>All Scheduled Commercial Banks, including Regional Rural Banks /</w:t>
      </w:r>
      <w:r w:rsidRPr="00470480">
        <w:rPr>
          <w:rFonts w:ascii="Arial" w:hAnsi="Arial" w:cs="Arial"/>
          <w:sz w:val="20"/>
          <w:szCs w:val="20"/>
        </w:rPr>
        <w:br/>
        <w:t>Urban Co-operative Banks / State Co-operative Banks /</w:t>
      </w:r>
      <w:r w:rsidRPr="00470480">
        <w:rPr>
          <w:rFonts w:ascii="Arial" w:hAnsi="Arial" w:cs="Arial"/>
          <w:sz w:val="20"/>
          <w:szCs w:val="20"/>
        </w:rPr>
        <w:br/>
        <w:t>District Central Co-operative Banks / Payments Banks /</w:t>
      </w:r>
      <w:r w:rsidRPr="00470480">
        <w:rPr>
          <w:rFonts w:ascii="Arial" w:hAnsi="Arial" w:cs="Arial"/>
          <w:sz w:val="20"/>
          <w:szCs w:val="20"/>
        </w:rPr>
        <w:br/>
        <w:t>Small Finance Banks / Local Area Banks /</w:t>
      </w:r>
      <w:r w:rsidRPr="00470480">
        <w:rPr>
          <w:rFonts w:ascii="Arial" w:hAnsi="Arial" w:cs="Arial"/>
          <w:sz w:val="20"/>
          <w:szCs w:val="20"/>
        </w:rPr>
        <w:br/>
        <w:t>Non-bank Prepaid Payment Instrument Issuers / Authorised Card Payment Networks /</w:t>
      </w:r>
      <w:r w:rsidRPr="00470480">
        <w:rPr>
          <w:rFonts w:ascii="Arial" w:hAnsi="Arial" w:cs="Arial"/>
          <w:sz w:val="20"/>
          <w:szCs w:val="20"/>
        </w:rPr>
        <w:br/>
        <w:t>National Payments Corporation of India</w:t>
      </w:r>
    </w:p>
    <w:p w:rsidR="007E2B77" w:rsidRPr="00470480" w:rsidRDefault="007E2B77" w:rsidP="007E2B77">
      <w:pPr>
        <w:jc w:val="both"/>
        <w:rPr>
          <w:rFonts w:ascii="Arial" w:hAnsi="Arial" w:cs="Arial"/>
          <w:sz w:val="20"/>
          <w:szCs w:val="20"/>
        </w:rPr>
      </w:pPr>
      <w:r w:rsidRPr="00470480">
        <w:rPr>
          <w:rFonts w:ascii="Arial" w:hAnsi="Arial" w:cs="Arial"/>
          <w:sz w:val="20"/>
          <w:szCs w:val="20"/>
        </w:rPr>
        <w:t>Madam / Dear Sir,</w:t>
      </w:r>
    </w:p>
    <w:p w:rsidR="007E2B77" w:rsidRPr="00470480" w:rsidRDefault="007E2B77" w:rsidP="007E2B77">
      <w:pPr>
        <w:jc w:val="both"/>
        <w:rPr>
          <w:rFonts w:ascii="Arial" w:hAnsi="Arial" w:cs="Arial"/>
          <w:b/>
          <w:bCs/>
          <w:sz w:val="20"/>
          <w:szCs w:val="20"/>
        </w:rPr>
      </w:pPr>
      <w:r w:rsidRPr="00470480">
        <w:rPr>
          <w:rFonts w:ascii="Arial" w:hAnsi="Arial" w:cs="Arial"/>
          <w:b/>
          <w:bCs/>
          <w:sz w:val="20"/>
          <w:szCs w:val="20"/>
        </w:rPr>
        <w:t>Processing of e-mandates for recurring transactions</w:t>
      </w:r>
    </w:p>
    <w:p w:rsidR="007E2B77" w:rsidRPr="00470480" w:rsidRDefault="007E2B77" w:rsidP="007E2B77">
      <w:pPr>
        <w:jc w:val="both"/>
        <w:rPr>
          <w:rFonts w:ascii="Arial" w:hAnsi="Arial" w:cs="Arial"/>
          <w:sz w:val="20"/>
          <w:szCs w:val="20"/>
        </w:rPr>
      </w:pPr>
      <w:r w:rsidRPr="00470480">
        <w:rPr>
          <w:rFonts w:ascii="Arial" w:hAnsi="Arial" w:cs="Arial"/>
          <w:sz w:val="20"/>
          <w:szCs w:val="20"/>
        </w:rPr>
        <w:t>A reference is invited to our circulars </w:t>
      </w:r>
      <w:hyperlink r:id="rId10" w:tgtFrame="_blank" w:history="1">
        <w:r w:rsidRPr="00470480">
          <w:rPr>
            <w:rStyle w:val="Hyperlink"/>
            <w:rFonts w:ascii="Arial" w:hAnsi="Arial" w:cs="Arial"/>
            <w:sz w:val="20"/>
            <w:szCs w:val="20"/>
          </w:rPr>
          <w:t>DPSS.CO.PD.No.447/02.14.003/2019-20 dated August 21, 2019</w:t>
        </w:r>
      </w:hyperlink>
      <w:r w:rsidRPr="00470480">
        <w:rPr>
          <w:rFonts w:ascii="Arial" w:hAnsi="Arial" w:cs="Arial"/>
          <w:sz w:val="20"/>
          <w:szCs w:val="20"/>
        </w:rPr>
        <w:t>, </w:t>
      </w:r>
      <w:hyperlink r:id="rId11" w:tgtFrame="_blank" w:history="1">
        <w:r w:rsidRPr="00470480">
          <w:rPr>
            <w:rStyle w:val="Hyperlink"/>
            <w:rFonts w:ascii="Arial" w:hAnsi="Arial" w:cs="Arial"/>
            <w:sz w:val="20"/>
            <w:szCs w:val="20"/>
          </w:rPr>
          <w:t>DPSS.CO.PD No.1324/02.23.001/2019-20 dated January 10, 2020</w:t>
        </w:r>
      </w:hyperlink>
      <w:r w:rsidRPr="00470480">
        <w:rPr>
          <w:rFonts w:ascii="Arial" w:hAnsi="Arial" w:cs="Arial"/>
          <w:sz w:val="20"/>
          <w:szCs w:val="20"/>
        </w:rPr>
        <w:t>, </w:t>
      </w:r>
      <w:hyperlink r:id="rId12" w:tgtFrame="_blank" w:history="1">
        <w:r w:rsidRPr="00470480">
          <w:rPr>
            <w:rStyle w:val="Hyperlink"/>
            <w:rFonts w:ascii="Arial" w:hAnsi="Arial" w:cs="Arial"/>
            <w:sz w:val="20"/>
            <w:szCs w:val="20"/>
          </w:rPr>
          <w:t>DPSS.CO.PD No.754/02.14.003/2020-21 dated December 04, 2020</w:t>
        </w:r>
      </w:hyperlink>
      <w:r w:rsidRPr="00470480">
        <w:rPr>
          <w:rFonts w:ascii="Arial" w:hAnsi="Arial" w:cs="Arial"/>
          <w:sz w:val="20"/>
          <w:szCs w:val="20"/>
        </w:rPr>
        <w:t> and </w:t>
      </w:r>
      <w:hyperlink r:id="rId13" w:tgtFrame="_blank" w:history="1">
        <w:r w:rsidRPr="00470480">
          <w:rPr>
            <w:rStyle w:val="Hyperlink"/>
            <w:rFonts w:ascii="Arial" w:hAnsi="Arial" w:cs="Arial"/>
            <w:sz w:val="20"/>
            <w:szCs w:val="20"/>
          </w:rPr>
          <w:t>CO.DPSS.POLC.No.S34/02-14-003/2020-2021 dated March 31, 2021</w:t>
        </w:r>
      </w:hyperlink>
      <w:r w:rsidRPr="00470480">
        <w:rPr>
          <w:rFonts w:ascii="Arial" w:hAnsi="Arial" w:cs="Arial"/>
          <w:sz w:val="20"/>
          <w:szCs w:val="20"/>
        </w:rPr>
        <w:t> (collectively referred to as “e-mandate framework”). The e-mandate framework prescribed an Additional Factor of Authentication (AFA), inter alia, while processing the first transaction in case of e-mandates / standing instructions on cards, prepaid payment instruments and Unified Payments Interface. For subsequent transactions with transaction values up to ₹5,000/- (AFA limit), prescription of AFA was waived.</w:t>
      </w:r>
    </w:p>
    <w:p w:rsidR="007E2B77" w:rsidRPr="00470480" w:rsidRDefault="007E2B77" w:rsidP="007E2B77">
      <w:pPr>
        <w:jc w:val="both"/>
        <w:rPr>
          <w:rFonts w:ascii="Arial" w:hAnsi="Arial" w:cs="Arial"/>
          <w:sz w:val="20"/>
          <w:szCs w:val="20"/>
        </w:rPr>
      </w:pPr>
      <w:r w:rsidRPr="00470480">
        <w:rPr>
          <w:rFonts w:ascii="Arial" w:hAnsi="Arial" w:cs="Arial"/>
          <w:sz w:val="20"/>
          <w:szCs w:val="20"/>
        </w:rPr>
        <w:t>2. On a review of implementation of the e-mandate framework and the protection available to customers, it has been decided to increase the aforesaid AFA limit from ₹5,000/- to ₹15,000/- per transaction.</w:t>
      </w:r>
    </w:p>
    <w:p w:rsidR="007E2B77" w:rsidRPr="00470480" w:rsidRDefault="007E2B77" w:rsidP="007E2B77">
      <w:pPr>
        <w:jc w:val="both"/>
        <w:rPr>
          <w:rFonts w:ascii="Arial" w:hAnsi="Arial" w:cs="Arial"/>
          <w:sz w:val="20"/>
          <w:szCs w:val="20"/>
        </w:rPr>
      </w:pPr>
      <w:r w:rsidRPr="00470480">
        <w:rPr>
          <w:rFonts w:ascii="Arial" w:hAnsi="Arial" w:cs="Arial"/>
          <w:sz w:val="20"/>
          <w:szCs w:val="20"/>
        </w:rPr>
        <w:t>3. This circular is issued under Section 10 (2) read with Section 18 of the Payment and Settlement Systems Act, 2007 (Act 51 of 2007), and shall come into effect immediately.</w:t>
      </w:r>
    </w:p>
    <w:p w:rsidR="007E2B77" w:rsidRPr="00470480" w:rsidRDefault="007E2B77" w:rsidP="007E2B77">
      <w:pPr>
        <w:jc w:val="both"/>
        <w:rPr>
          <w:rFonts w:ascii="Arial" w:hAnsi="Arial" w:cs="Arial"/>
          <w:sz w:val="20"/>
          <w:szCs w:val="20"/>
        </w:rPr>
      </w:pPr>
      <w:r w:rsidRPr="00470480">
        <w:rPr>
          <w:rFonts w:ascii="Arial" w:hAnsi="Arial" w:cs="Arial"/>
          <w:sz w:val="20"/>
          <w:szCs w:val="20"/>
        </w:rPr>
        <w:t>Yours faithfully,</w:t>
      </w:r>
    </w:p>
    <w:p w:rsidR="007E2B77" w:rsidRPr="00470480" w:rsidRDefault="007E2B77" w:rsidP="007E2B77">
      <w:pPr>
        <w:rPr>
          <w:rFonts w:ascii="Arial" w:hAnsi="Arial" w:cs="Arial"/>
          <w:sz w:val="20"/>
          <w:szCs w:val="20"/>
        </w:rPr>
      </w:pPr>
      <w:r w:rsidRPr="00470480">
        <w:rPr>
          <w:rFonts w:ascii="Arial" w:hAnsi="Arial" w:cs="Arial"/>
          <w:sz w:val="20"/>
          <w:szCs w:val="20"/>
        </w:rPr>
        <w:t xml:space="preserve">(P. </w:t>
      </w:r>
      <w:proofErr w:type="spellStart"/>
      <w:r w:rsidRPr="00470480">
        <w:rPr>
          <w:rFonts w:ascii="Arial" w:hAnsi="Arial" w:cs="Arial"/>
          <w:sz w:val="20"/>
          <w:szCs w:val="20"/>
        </w:rPr>
        <w:t>Vasudevan</w:t>
      </w:r>
      <w:proofErr w:type="spellEnd"/>
      <w:r w:rsidRPr="00470480">
        <w:rPr>
          <w:rFonts w:ascii="Arial" w:hAnsi="Arial" w:cs="Arial"/>
          <w:sz w:val="20"/>
          <w:szCs w:val="20"/>
        </w:rPr>
        <w:t>)</w:t>
      </w:r>
      <w:r w:rsidRPr="00470480">
        <w:rPr>
          <w:rFonts w:ascii="Arial" w:hAnsi="Arial" w:cs="Arial"/>
          <w:sz w:val="20"/>
          <w:szCs w:val="20"/>
        </w:rPr>
        <w:br/>
        <w:t>Chief General Manager</w:t>
      </w:r>
    </w:p>
    <w:p w:rsidR="007E2B77" w:rsidRDefault="007E2B77" w:rsidP="007E2B77">
      <w:pPr>
        <w:jc w:val="both"/>
        <w:rPr>
          <w:rFonts w:ascii="Arial" w:hAnsi="Arial" w:cs="Arial"/>
          <w:sz w:val="20"/>
          <w:szCs w:val="20"/>
        </w:rPr>
      </w:pPr>
    </w:p>
    <w:p w:rsidR="007E2B77" w:rsidRDefault="007E2B77" w:rsidP="007E2B77">
      <w:pPr>
        <w:jc w:val="both"/>
        <w:rPr>
          <w:rFonts w:ascii="Arial" w:hAnsi="Arial" w:cs="Arial"/>
          <w:sz w:val="20"/>
          <w:szCs w:val="20"/>
        </w:rPr>
      </w:pPr>
    </w:p>
    <w:p w:rsidR="007E2B77" w:rsidRPr="00470480" w:rsidRDefault="007E2B77" w:rsidP="007E2B77">
      <w:pPr>
        <w:jc w:val="both"/>
        <w:rPr>
          <w:rFonts w:ascii="Arial" w:hAnsi="Arial" w:cs="Arial"/>
          <w:sz w:val="20"/>
          <w:szCs w:val="20"/>
        </w:rPr>
      </w:pPr>
      <w:r w:rsidRPr="00470480">
        <w:rPr>
          <w:rFonts w:ascii="Arial" w:hAnsi="Arial" w:cs="Arial"/>
          <w:sz w:val="20"/>
          <w:szCs w:val="20"/>
        </w:rPr>
        <w:t xml:space="preserve">Reference Link: </w:t>
      </w:r>
      <w:hyperlink r:id="rId14" w:history="1">
        <w:r w:rsidRPr="00470480">
          <w:rPr>
            <w:rStyle w:val="Hyperlink"/>
            <w:rFonts w:ascii="Arial" w:hAnsi="Arial" w:cs="Arial"/>
            <w:sz w:val="20"/>
            <w:szCs w:val="20"/>
          </w:rPr>
          <w:t>https://www.rbi.org.in/Scripts/NotificationUser.aspx?Id=12341&amp;Mode=0</w:t>
        </w:r>
      </w:hyperlink>
    </w:p>
    <w:p w:rsidR="007E2B77" w:rsidRPr="00470480" w:rsidRDefault="007E2B77" w:rsidP="007E2B77">
      <w:pPr>
        <w:jc w:val="both"/>
        <w:rPr>
          <w:rFonts w:ascii="Arial" w:hAnsi="Arial" w:cs="Arial"/>
          <w:sz w:val="20"/>
          <w:szCs w:val="20"/>
        </w:rPr>
      </w:pPr>
    </w:p>
    <w:p w:rsidR="007E2B77" w:rsidRPr="00470480" w:rsidRDefault="007E2B77" w:rsidP="007E2B77">
      <w:pPr>
        <w:jc w:val="both"/>
        <w:rPr>
          <w:rFonts w:ascii="Arial" w:hAnsi="Arial" w:cs="Arial"/>
          <w:sz w:val="20"/>
          <w:szCs w:val="20"/>
        </w:rPr>
      </w:pPr>
    </w:p>
    <w:p w:rsidR="007E2B77" w:rsidRPr="00470480" w:rsidRDefault="007E2B77" w:rsidP="007E2B77">
      <w:pPr>
        <w:jc w:val="both"/>
        <w:rPr>
          <w:rFonts w:ascii="Arial" w:hAnsi="Arial" w:cs="Arial"/>
          <w:sz w:val="20"/>
          <w:szCs w:val="20"/>
        </w:rPr>
      </w:pPr>
    </w:p>
    <w:p w:rsidR="007E2B77" w:rsidRPr="00470480" w:rsidRDefault="007E2B77" w:rsidP="007E2B77">
      <w:pPr>
        <w:jc w:val="both"/>
        <w:rPr>
          <w:rFonts w:ascii="Arial" w:hAnsi="Arial" w:cs="Arial"/>
          <w:sz w:val="20"/>
          <w:szCs w:val="20"/>
        </w:rPr>
      </w:pPr>
    </w:p>
    <w:p w:rsidR="007E2B77" w:rsidRPr="00470480" w:rsidRDefault="007E2B77" w:rsidP="007E2B77">
      <w:pPr>
        <w:jc w:val="both"/>
        <w:rPr>
          <w:rFonts w:ascii="Arial" w:hAnsi="Arial" w:cs="Arial"/>
          <w:sz w:val="20"/>
          <w:szCs w:val="20"/>
        </w:rPr>
      </w:pPr>
    </w:p>
    <w:p w:rsidR="007E2B77" w:rsidRPr="00470480" w:rsidRDefault="007E2B77" w:rsidP="007E2B77">
      <w:pPr>
        <w:jc w:val="both"/>
        <w:rPr>
          <w:rFonts w:ascii="Arial" w:hAnsi="Arial" w:cs="Arial"/>
          <w:b/>
          <w:bCs/>
          <w:color w:val="000000"/>
          <w:sz w:val="20"/>
          <w:szCs w:val="20"/>
        </w:rPr>
      </w:pPr>
    </w:p>
    <w:p w:rsidR="007E2B77" w:rsidRDefault="007E2B77" w:rsidP="007E2B77">
      <w:pPr>
        <w:jc w:val="both"/>
        <w:rPr>
          <w:rFonts w:ascii="Arial" w:hAnsi="Arial" w:cs="Arial"/>
          <w:b/>
          <w:bCs/>
          <w:color w:val="000000"/>
          <w:sz w:val="20"/>
          <w:szCs w:val="20"/>
        </w:rPr>
      </w:pPr>
    </w:p>
    <w:p w:rsidR="007E2B77" w:rsidRDefault="007E2B77">
      <w:r>
        <w:br w:type="page"/>
      </w:r>
    </w:p>
    <w:p w:rsidR="007E2B77" w:rsidRPr="00470480" w:rsidRDefault="007E2B77" w:rsidP="007E2B77">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Provisioning for Standard assets by Non-Banking Financial Company – Upper Layer</w:t>
      </w:r>
    </w:p>
    <w:p w:rsidR="007E2B77" w:rsidRPr="00470480" w:rsidRDefault="007E2B77" w:rsidP="007E2B77">
      <w:pPr>
        <w:spacing w:after="0"/>
        <w:jc w:val="both"/>
        <w:rPr>
          <w:rFonts w:ascii="Arial" w:hAnsi="Arial" w:cs="Arial"/>
          <w:b/>
          <w:bCs/>
          <w:color w:val="000000"/>
          <w:sz w:val="20"/>
          <w:szCs w:val="20"/>
        </w:rPr>
      </w:pP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RBI/2022-23/61</w:t>
      </w:r>
      <w:r w:rsidRPr="00470480">
        <w:rPr>
          <w:rFonts w:ascii="Arial" w:hAnsi="Arial" w:cs="Arial"/>
          <w:color w:val="000000"/>
          <w:sz w:val="20"/>
          <w:szCs w:val="20"/>
        </w:rPr>
        <w:br/>
        <w:t>DOR.STR.REC.40/21.04.048/2022-23</w:t>
      </w:r>
    </w:p>
    <w:p w:rsidR="007E2B77" w:rsidRPr="00470480" w:rsidRDefault="007E2B77" w:rsidP="007E2B77">
      <w:pPr>
        <w:pStyle w:val="NormalWeb"/>
        <w:jc w:val="right"/>
        <w:rPr>
          <w:rFonts w:ascii="Arial" w:hAnsi="Arial" w:cs="Arial"/>
          <w:color w:val="000000"/>
          <w:sz w:val="20"/>
          <w:szCs w:val="20"/>
        </w:rPr>
      </w:pPr>
      <w:r w:rsidRPr="00470480">
        <w:rPr>
          <w:rFonts w:ascii="Arial" w:hAnsi="Arial" w:cs="Arial"/>
          <w:color w:val="000000"/>
          <w:sz w:val="20"/>
          <w:szCs w:val="20"/>
        </w:rPr>
        <w:t>June 6, 2022</w:t>
      </w:r>
    </w:p>
    <w:p w:rsidR="007E2B77" w:rsidRPr="00470480" w:rsidRDefault="007E2B77" w:rsidP="007E2B77">
      <w:pPr>
        <w:pStyle w:val="NormalWeb"/>
        <w:rPr>
          <w:rFonts w:ascii="Arial" w:hAnsi="Arial" w:cs="Arial"/>
          <w:color w:val="000000"/>
          <w:sz w:val="20"/>
          <w:szCs w:val="20"/>
        </w:rPr>
      </w:pPr>
      <w:r w:rsidRPr="00470480">
        <w:rPr>
          <w:rFonts w:ascii="Arial" w:hAnsi="Arial" w:cs="Arial"/>
          <w:color w:val="000000"/>
          <w:sz w:val="20"/>
          <w:szCs w:val="20"/>
        </w:rPr>
        <w:t>All Non-Banking Financial Companies</w:t>
      </w:r>
      <w:r w:rsidRPr="00470480">
        <w:rPr>
          <w:rFonts w:ascii="Arial" w:hAnsi="Arial" w:cs="Arial"/>
          <w:color w:val="000000"/>
          <w:sz w:val="20"/>
          <w:szCs w:val="20"/>
        </w:rPr>
        <w:br/>
        <w:t>(Including Housing Finance Companies)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7E2B77" w:rsidRPr="00470480" w:rsidRDefault="007E2B77" w:rsidP="007E2B77">
      <w:pPr>
        <w:pStyle w:val="head"/>
        <w:jc w:val="both"/>
        <w:rPr>
          <w:rFonts w:ascii="Arial" w:hAnsi="Arial" w:cs="Arial"/>
          <w:b/>
          <w:bCs/>
          <w:color w:val="000000"/>
          <w:sz w:val="20"/>
          <w:szCs w:val="20"/>
        </w:rPr>
      </w:pPr>
      <w:r w:rsidRPr="00470480">
        <w:rPr>
          <w:rFonts w:ascii="Arial" w:hAnsi="Arial" w:cs="Arial"/>
          <w:b/>
          <w:bCs/>
          <w:color w:val="000000"/>
          <w:sz w:val="20"/>
          <w:szCs w:val="20"/>
        </w:rPr>
        <w:t>Provisioning for Standard assets by Non-Banking Financial Company – Upper Layer</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15" w:tgtFrame="_blank" w:history="1">
        <w:r w:rsidRPr="00470480">
          <w:rPr>
            <w:rStyle w:val="Hyperlink"/>
            <w:rFonts w:ascii="Arial" w:hAnsi="Arial" w:cs="Arial"/>
            <w:sz w:val="20"/>
            <w:szCs w:val="20"/>
          </w:rPr>
          <w:t>circular DOR.CRE.REC.No.60/03.10.001/2021-22 dated October 22, 2021</w:t>
        </w:r>
      </w:hyperlink>
      <w:r w:rsidRPr="00470480">
        <w:rPr>
          <w:rFonts w:ascii="Arial" w:hAnsi="Arial" w:cs="Arial"/>
          <w:color w:val="000000"/>
          <w:sz w:val="20"/>
          <w:szCs w:val="20"/>
        </w:rPr>
        <w:t> on “Scale Based Regulation (SBR): A Revised Regulatory Framework for NBFCs” wherein it was inter alia mentioned that RBI would issue guidelines on differential provisioning to be held by NBFCs classified as NBFC-Upper Layer (NBFC-UL) towards different classes of standard assets.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2. Accordingly, it has been decided that NBFCs classified as NBFC-UL shall maintain provisions in respect of ‘standard’ assets at the following rates for the funded amount outstanding:</w:t>
      </w:r>
    </w:p>
    <w:tbl>
      <w:tblPr>
        <w:tblW w:w="47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4537"/>
        <w:gridCol w:w="4023"/>
      </w:tblGrid>
      <w:tr w:rsidR="007E2B77" w:rsidRPr="00470480" w:rsidTr="00403352">
        <w:trPr>
          <w:jc w:val="center"/>
        </w:trPr>
        <w:tc>
          <w:tcPr>
            <w:tcW w:w="26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E2B77" w:rsidRPr="00470480" w:rsidRDefault="007E2B77" w:rsidP="00403352">
            <w:pPr>
              <w:jc w:val="center"/>
              <w:rPr>
                <w:rFonts w:ascii="Arial" w:hAnsi="Arial" w:cs="Arial"/>
                <w:b/>
                <w:bCs/>
                <w:color w:val="000000"/>
                <w:sz w:val="20"/>
                <w:szCs w:val="20"/>
              </w:rPr>
            </w:pPr>
            <w:r w:rsidRPr="00470480">
              <w:rPr>
                <w:rFonts w:ascii="Arial" w:hAnsi="Arial" w:cs="Arial"/>
                <w:b/>
                <w:bCs/>
                <w:color w:val="000000"/>
                <w:sz w:val="20"/>
                <w:szCs w:val="20"/>
              </w:rPr>
              <w:t>Category of Assets</w:t>
            </w:r>
          </w:p>
        </w:tc>
        <w:tc>
          <w:tcPr>
            <w:tcW w:w="2350" w:type="pct"/>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E2B77" w:rsidRPr="00470480" w:rsidRDefault="007E2B77" w:rsidP="00403352">
            <w:pPr>
              <w:jc w:val="center"/>
              <w:rPr>
                <w:rFonts w:ascii="Arial" w:hAnsi="Arial" w:cs="Arial"/>
                <w:b/>
                <w:bCs/>
                <w:color w:val="000000"/>
                <w:sz w:val="20"/>
                <w:szCs w:val="20"/>
              </w:rPr>
            </w:pPr>
            <w:r w:rsidRPr="00470480">
              <w:rPr>
                <w:rFonts w:ascii="Arial" w:hAnsi="Arial" w:cs="Arial"/>
                <w:b/>
                <w:bCs/>
                <w:color w:val="000000"/>
                <w:sz w:val="20"/>
                <w:szCs w:val="20"/>
              </w:rPr>
              <w:t>Rate of Provision</w:t>
            </w:r>
          </w:p>
        </w:tc>
      </w:tr>
      <w:tr w:rsidR="007E2B77" w:rsidRPr="00470480" w:rsidTr="0040335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E2B77" w:rsidRPr="00470480" w:rsidRDefault="007E2B77" w:rsidP="00403352">
            <w:pPr>
              <w:jc w:val="both"/>
              <w:rPr>
                <w:rFonts w:ascii="Arial" w:hAnsi="Arial" w:cs="Arial"/>
                <w:color w:val="000000"/>
                <w:sz w:val="20"/>
                <w:szCs w:val="20"/>
              </w:rPr>
            </w:pPr>
            <w:r w:rsidRPr="00470480">
              <w:rPr>
                <w:rFonts w:ascii="Arial" w:hAnsi="Arial" w:cs="Arial"/>
                <w:color w:val="000000"/>
                <w:sz w:val="20"/>
                <w:szCs w:val="20"/>
              </w:rPr>
              <w:t>Individual housing loans and loans to Small and Micro Enterprises (SMEs)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E2B77" w:rsidRPr="00470480" w:rsidRDefault="007E2B77" w:rsidP="00403352">
            <w:pPr>
              <w:jc w:val="both"/>
              <w:rPr>
                <w:rFonts w:ascii="Arial" w:hAnsi="Arial" w:cs="Arial"/>
                <w:color w:val="000000"/>
                <w:sz w:val="20"/>
                <w:szCs w:val="20"/>
              </w:rPr>
            </w:pPr>
            <w:r w:rsidRPr="00470480">
              <w:rPr>
                <w:rFonts w:ascii="Arial" w:hAnsi="Arial" w:cs="Arial"/>
                <w:color w:val="000000"/>
                <w:sz w:val="20"/>
                <w:szCs w:val="20"/>
              </w:rPr>
              <w:t>0.25 per cent</w:t>
            </w:r>
          </w:p>
        </w:tc>
      </w:tr>
      <w:tr w:rsidR="007E2B77" w:rsidRPr="00470480" w:rsidTr="0040335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7E2B77" w:rsidRPr="00470480" w:rsidRDefault="007E2B77" w:rsidP="00403352">
            <w:pPr>
              <w:jc w:val="both"/>
              <w:rPr>
                <w:rFonts w:ascii="Arial" w:hAnsi="Arial" w:cs="Arial"/>
                <w:color w:val="000000"/>
                <w:sz w:val="20"/>
                <w:szCs w:val="20"/>
              </w:rPr>
            </w:pPr>
            <w:r w:rsidRPr="00470480">
              <w:rPr>
                <w:rFonts w:ascii="Arial" w:hAnsi="Arial" w:cs="Arial"/>
                <w:color w:val="000000"/>
                <w:sz w:val="20"/>
                <w:szCs w:val="20"/>
              </w:rPr>
              <w:t>Housing loans extended at teaser rates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E2B77" w:rsidRPr="00470480" w:rsidRDefault="007E2B77" w:rsidP="00403352">
            <w:pPr>
              <w:jc w:val="both"/>
              <w:rPr>
                <w:rFonts w:ascii="Arial" w:hAnsi="Arial" w:cs="Arial"/>
                <w:color w:val="000000"/>
                <w:sz w:val="20"/>
                <w:szCs w:val="20"/>
              </w:rPr>
            </w:pPr>
            <w:r w:rsidRPr="00470480">
              <w:rPr>
                <w:rFonts w:ascii="Arial" w:hAnsi="Arial" w:cs="Arial"/>
                <w:color w:val="000000"/>
                <w:sz w:val="20"/>
                <w:szCs w:val="20"/>
              </w:rPr>
              <w:t>2.00 per cent, which will decrease to 0.40 per cent after 1 year from the date on which the rates are reset at higher rates (if the accounts remain ‘standard’)</w:t>
            </w:r>
          </w:p>
        </w:tc>
      </w:tr>
      <w:tr w:rsidR="007E2B77" w:rsidRPr="00470480" w:rsidTr="0040335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E2B77" w:rsidRPr="00470480" w:rsidRDefault="007E2B77" w:rsidP="00403352">
            <w:pPr>
              <w:jc w:val="both"/>
              <w:rPr>
                <w:rFonts w:ascii="Arial" w:hAnsi="Arial" w:cs="Arial"/>
                <w:color w:val="000000"/>
                <w:sz w:val="20"/>
                <w:szCs w:val="20"/>
              </w:rPr>
            </w:pPr>
            <w:r w:rsidRPr="00470480">
              <w:rPr>
                <w:rFonts w:ascii="Arial" w:hAnsi="Arial" w:cs="Arial"/>
                <w:color w:val="000000"/>
                <w:sz w:val="20"/>
                <w:szCs w:val="20"/>
              </w:rPr>
              <w:t>Advances to Commercial Real Estate – Residential Housing (CRE - RH) Sector</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E2B77" w:rsidRPr="00470480" w:rsidRDefault="007E2B77" w:rsidP="00403352">
            <w:pPr>
              <w:jc w:val="both"/>
              <w:rPr>
                <w:rFonts w:ascii="Arial" w:hAnsi="Arial" w:cs="Arial"/>
                <w:color w:val="000000"/>
                <w:sz w:val="20"/>
                <w:szCs w:val="20"/>
              </w:rPr>
            </w:pPr>
            <w:r w:rsidRPr="00470480">
              <w:rPr>
                <w:rFonts w:ascii="Arial" w:hAnsi="Arial" w:cs="Arial"/>
                <w:color w:val="000000"/>
                <w:sz w:val="20"/>
                <w:szCs w:val="20"/>
              </w:rPr>
              <w:t>0.75 per cent</w:t>
            </w:r>
          </w:p>
        </w:tc>
      </w:tr>
      <w:tr w:rsidR="007E2B77" w:rsidRPr="00470480" w:rsidTr="0040335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E2B77" w:rsidRPr="00470480" w:rsidRDefault="007E2B77" w:rsidP="00403352">
            <w:pPr>
              <w:jc w:val="both"/>
              <w:rPr>
                <w:rFonts w:ascii="Arial" w:hAnsi="Arial" w:cs="Arial"/>
                <w:color w:val="000000"/>
                <w:sz w:val="20"/>
                <w:szCs w:val="20"/>
              </w:rPr>
            </w:pPr>
            <w:r w:rsidRPr="00470480">
              <w:rPr>
                <w:rFonts w:ascii="Arial" w:hAnsi="Arial" w:cs="Arial"/>
                <w:color w:val="000000"/>
                <w:sz w:val="20"/>
                <w:szCs w:val="20"/>
              </w:rPr>
              <w:t>Advances to Commercial Real Estate (CRE) Sector (other than CRE-RH)</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E2B77" w:rsidRPr="00470480" w:rsidRDefault="007E2B77" w:rsidP="00403352">
            <w:pPr>
              <w:jc w:val="both"/>
              <w:rPr>
                <w:rFonts w:ascii="Arial" w:hAnsi="Arial" w:cs="Arial"/>
                <w:color w:val="000000"/>
                <w:sz w:val="20"/>
                <w:szCs w:val="20"/>
              </w:rPr>
            </w:pPr>
            <w:r w:rsidRPr="00470480">
              <w:rPr>
                <w:rFonts w:ascii="Arial" w:hAnsi="Arial" w:cs="Arial"/>
                <w:color w:val="000000"/>
                <w:sz w:val="20"/>
                <w:szCs w:val="20"/>
              </w:rPr>
              <w:t>1.00 per cent</w:t>
            </w:r>
          </w:p>
        </w:tc>
      </w:tr>
      <w:tr w:rsidR="007E2B77" w:rsidRPr="00470480" w:rsidTr="0040335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7E2B77" w:rsidRPr="00470480" w:rsidRDefault="007E2B77" w:rsidP="00403352">
            <w:pPr>
              <w:jc w:val="both"/>
              <w:rPr>
                <w:rFonts w:ascii="Arial" w:hAnsi="Arial" w:cs="Arial"/>
                <w:color w:val="000000"/>
                <w:sz w:val="20"/>
                <w:szCs w:val="20"/>
              </w:rPr>
            </w:pPr>
            <w:r w:rsidRPr="00470480">
              <w:rPr>
                <w:rFonts w:ascii="Arial" w:hAnsi="Arial" w:cs="Arial"/>
                <w:color w:val="000000"/>
                <w:sz w:val="20"/>
                <w:szCs w:val="20"/>
              </w:rPr>
              <w:t>Restructured advances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E2B77" w:rsidRPr="00470480" w:rsidRDefault="007E2B77" w:rsidP="00403352">
            <w:pPr>
              <w:jc w:val="both"/>
              <w:rPr>
                <w:rFonts w:ascii="Arial" w:hAnsi="Arial" w:cs="Arial"/>
                <w:color w:val="000000"/>
                <w:sz w:val="20"/>
                <w:szCs w:val="20"/>
              </w:rPr>
            </w:pPr>
            <w:r w:rsidRPr="00470480">
              <w:rPr>
                <w:rFonts w:ascii="Arial" w:hAnsi="Arial" w:cs="Arial"/>
                <w:color w:val="000000"/>
                <w:sz w:val="20"/>
                <w:szCs w:val="20"/>
              </w:rPr>
              <w:t>As stipulated in the applicable prudential norms for restructuring of advances</w:t>
            </w:r>
          </w:p>
        </w:tc>
      </w:tr>
      <w:tr w:rsidR="007E2B77" w:rsidRPr="00470480" w:rsidTr="0040335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vAlign w:val="center"/>
            <w:hideMark/>
          </w:tcPr>
          <w:p w:rsidR="007E2B77" w:rsidRPr="00470480" w:rsidRDefault="007E2B77" w:rsidP="00403352">
            <w:pPr>
              <w:jc w:val="both"/>
              <w:rPr>
                <w:rFonts w:ascii="Arial" w:hAnsi="Arial" w:cs="Arial"/>
                <w:color w:val="000000"/>
                <w:sz w:val="20"/>
                <w:szCs w:val="20"/>
              </w:rPr>
            </w:pPr>
            <w:r w:rsidRPr="00470480">
              <w:rPr>
                <w:rFonts w:ascii="Arial" w:hAnsi="Arial" w:cs="Arial"/>
                <w:color w:val="000000"/>
                <w:sz w:val="20"/>
                <w:szCs w:val="20"/>
              </w:rPr>
              <w:t>All other loans and advances not included above, including loans to Medium Enterprises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7E2B77" w:rsidRPr="00470480" w:rsidRDefault="007E2B77" w:rsidP="00403352">
            <w:pPr>
              <w:jc w:val="both"/>
              <w:rPr>
                <w:rFonts w:ascii="Arial" w:hAnsi="Arial" w:cs="Arial"/>
                <w:color w:val="000000"/>
                <w:sz w:val="20"/>
                <w:szCs w:val="20"/>
              </w:rPr>
            </w:pPr>
            <w:r w:rsidRPr="00470480">
              <w:rPr>
                <w:rFonts w:ascii="Arial" w:hAnsi="Arial" w:cs="Arial"/>
                <w:color w:val="000000"/>
                <w:sz w:val="20"/>
                <w:szCs w:val="20"/>
              </w:rPr>
              <w:t>0.40 per cent</w:t>
            </w:r>
          </w:p>
        </w:tc>
      </w:tr>
    </w:tbl>
    <w:p w:rsidR="007E2B77" w:rsidRDefault="007E2B77" w:rsidP="007E2B77"/>
    <w:p w:rsidR="007E2B77" w:rsidRDefault="007E2B77" w:rsidP="007E2B77"/>
    <w:p w:rsidR="007E2B77" w:rsidRDefault="007E2B77" w:rsidP="007E2B77">
      <w:r>
        <w:t>More details can be referred to in the below link</w:t>
      </w:r>
    </w:p>
    <w:p w:rsidR="007E2B77" w:rsidRPr="00470480" w:rsidRDefault="007E2B77" w:rsidP="007E2B77">
      <w:pPr>
        <w:spacing w:after="0"/>
        <w:jc w:val="both"/>
        <w:rPr>
          <w:rFonts w:ascii="Arial" w:hAnsi="Arial" w:cs="Arial"/>
          <w:bCs/>
          <w:color w:val="000000"/>
          <w:sz w:val="20"/>
          <w:szCs w:val="20"/>
        </w:rPr>
      </w:pPr>
      <w:r w:rsidRPr="00470480">
        <w:rPr>
          <w:rFonts w:ascii="Arial" w:hAnsi="Arial" w:cs="Arial"/>
          <w:bCs/>
          <w:color w:val="000000"/>
          <w:sz w:val="20"/>
          <w:szCs w:val="20"/>
        </w:rPr>
        <w:t xml:space="preserve">Reference Link: </w:t>
      </w:r>
      <w:hyperlink r:id="rId16" w:history="1">
        <w:r w:rsidRPr="00470480">
          <w:rPr>
            <w:rStyle w:val="Hyperlink"/>
            <w:rFonts w:ascii="Arial" w:hAnsi="Arial" w:cs="Arial"/>
            <w:bCs/>
            <w:sz w:val="20"/>
            <w:szCs w:val="20"/>
          </w:rPr>
          <w:t>https://www.rbi.org.in/Scripts/NotificationUser.aspx?Id=12329&amp;Mode=0</w:t>
        </w:r>
      </w:hyperlink>
    </w:p>
    <w:p w:rsidR="007E2B77" w:rsidRPr="00470480" w:rsidRDefault="007E2B77" w:rsidP="007E2B77">
      <w:pPr>
        <w:spacing w:after="0"/>
        <w:jc w:val="both"/>
        <w:rPr>
          <w:rFonts w:ascii="Arial" w:hAnsi="Arial" w:cs="Arial"/>
          <w:bCs/>
          <w:color w:val="000000"/>
          <w:sz w:val="20"/>
          <w:szCs w:val="20"/>
        </w:rPr>
      </w:pPr>
    </w:p>
    <w:p w:rsidR="007E2B77" w:rsidRPr="00470480" w:rsidRDefault="007E2B77" w:rsidP="007E2B77">
      <w:pPr>
        <w:spacing w:after="0"/>
        <w:jc w:val="both"/>
        <w:rPr>
          <w:rFonts w:ascii="Arial" w:hAnsi="Arial" w:cs="Arial"/>
          <w:b/>
          <w:bCs/>
          <w:color w:val="000000"/>
          <w:sz w:val="20"/>
          <w:szCs w:val="20"/>
        </w:rPr>
      </w:pPr>
    </w:p>
    <w:p w:rsidR="007E2B77" w:rsidRPr="00470480" w:rsidRDefault="007E2B77" w:rsidP="007E2B77">
      <w:pPr>
        <w:spacing w:after="0"/>
        <w:jc w:val="both"/>
        <w:rPr>
          <w:rFonts w:ascii="Arial" w:hAnsi="Arial" w:cs="Arial"/>
          <w:b/>
          <w:bCs/>
          <w:color w:val="000000"/>
          <w:sz w:val="20"/>
          <w:szCs w:val="20"/>
        </w:rPr>
      </w:pPr>
    </w:p>
    <w:p w:rsidR="007E2B77" w:rsidRPr="00470480" w:rsidRDefault="007E2B77" w:rsidP="007E2B77">
      <w:pPr>
        <w:spacing w:after="0"/>
        <w:jc w:val="both"/>
        <w:rPr>
          <w:rFonts w:ascii="Arial" w:hAnsi="Arial" w:cs="Arial"/>
          <w:b/>
          <w:bCs/>
          <w:color w:val="000000"/>
          <w:sz w:val="20"/>
          <w:szCs w:val="20"/>
        </w:rPr>
      </w:pPr>
    </w:p>
    <w:p w:rsidR="007E2B77" w:rsidRDefault="007E2B77">
      <w:r>
        <w:br w:type="page"/>
      </w:r>
    </w:p>
    <w:p w:rsidR="007E2B77" w:rsidRPr="00470480" w:rsidRDefault="007E2B77" w:rsidP="007E2B77">
      <w:pPr>
        <w:pStyle w:val="NormalWeb"/>
        <w:rPr>
          <w:rFonts w:ascii="Arial" w:hAnsi="Arial" w:cs="Arial"/>
          <w:b/>
          <w:bCs/>
          <w:color w:val="000000"/>
          <w:sz w:val="20"/>
          <w:szCs w:val="20"/>
        </w:rPr>
      </w:pPr>
      <w:r w:rsidRPr="00470480">
        <w:rPr>
          <w:rFonts w:ascii="Arial" w:hAnsi="Arial" w:cs="Arial"/>
          <w:b/>
          <w:bCs/>
          <w:color w:val="000000"/>
          <w:sz w:val="20"/>
          <w:szCs w:val="20"/>
        </w:rPr>
        <w:lastRenderedPageBreak/>
        <w:t>Lending by Commercial Banks to NBFCs and Small Finance Banks (SFBs) to NBFC-MFIs, for the purpose of on-lending to priority sectors</w:t>
      </w:r>
    </w:p>
    <w:p w:rsidR="007E2B77" w:rsidRPr="00470480" w:rsidRDefault="007E2B77" w:rsidP="007E2B77">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RBI/2022-23/50</w:t>
      </w:r>
      <w:r w:rsidRPr="00470480">
        <w:rPr>
          <w:rFonts w:ascii="Arial" w:eastAsia="Times New Roman" w:hAnsi="Arial" w:cs="Arial"/>
          <w:color w:val="000000"/>
          <w:sz w:val="20"/>
          <w:szCs w:val="20"/>
          <w:lang w:eastAsia="en-IN"/>
        </w:rPr>
        <w:br/>
        <w:t>FIDD.CO.Plan.BC.No.5/04.09.01/2022-23</w:t>
      </w:r>
    </w:p>
    <w:p w:rsidR="007E2B77" w:rsidRPr="00470480" w:rsidRDefault="007E2B77" w:rsidP="007E2B77">
      <w:pPr>
        <w:spacing w:before="100" w:beforeAutospacing="1" w:after="100" w:afterAutospacing="1" w:line="240" w:lineRule="auto"/>
        <w:jc w:val="right"/>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May 13, 2022</w:t>
      </w:r>
    </w:p>
    <w:p w:rsidR="007E2B77" w:rsidRPr="00470480" w:rsidRDefault="007E2B77" w:rsidP="007E2B77">
      <w:pPr>
        <w:spacing w:before="100" w:beforeAutospacing="1" w:after="100" w:afterAutospacing="1" w:line="240" w:lineRule="auto"/>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The Chairman/ Managing Director/</w:t>
      </w:r>
      <w:r w:rsidRPr="00470480">
        <w:rPr>
          <w:rFonts w:ascii="Arial" w:eastAsia="Times New Roman" w:hAnsi="Arial" w:cs="Arial"/>
          <w:color w:val="000000"/>
          <w:sz w:val="20"/>
          <w:szCs w:val="20"/>
          <w:lang w:eastAsia="en-IN"/>
        </w:rPr>
        <w:br/>
        <w:t>Chief Executive Officer</w:t>
      </w:r>
      <w:r w:rsidRPr="00470480">
        <w:rPr>
          <w:rFonts w:ascii="Arial" w:eastAsia="Times New Roman" w:hAnsi="Arial" w:cs="Arial"/>
          <w:color w:val="000000"/>
          <w:sz w:val="20"/>
          <w:szCs w:val="20"/>
          <w:lang w:eastAsia="en-IN"/>
        </w:rPr>
        <w:br/>
        <w:t>All Scheduled Commercial Banks (Including Small Finance Banks)</w:t>
      </w:r>
      <w:r w:rsidRPr="00470480">
        <w:rPr>
          <w:rFonts w:ascii="Arial" w:eastAsia="Times New Roman" w:hAnsi="Arial" w:cs="Arial"/>
          <w:color w:val="000000"/>
          <w:sz w:val="20"/>
          <w:szCs w:val="20"/>
          <w:lang w:eastAsia="en-IN"/>
        </w:rPr>
        <w:br/>
        <w:t>(Excluding Regional Rural Banks, Urban Co-operative Banks and Local Area Banks)</w:t>
      </w:r>
    </w:p>
    <w:p w:rsidR="007E2B77" w:rsidRPr="00470480" w:rsidRDefault="007E2B77" w:rsidP="007E2B77">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Dear Sir/Madam,</w:t>
      </w:r>
    </w:p>
    <w:p w:rsidR="007E2B77" w:rsidRPr="00470480" w:rsidRDefault="007E2B77" w:rsidP="007E2B77">
      <w:pPr>
        <w:spacing w:before="100" w:beforeAutospacing="1" w:after="100" w:afterAutospacing="1" w:line="240" w:lineRule="auto"/>
        <w:jc w:val="both"/>
        <w:rPr>
          <w:rFonts w:ascii="Arial" w:eastAsia="Times New Roman" w:hAnsi="Arial" w:cs="Arial"/>
          <w:b/>
          <w:bCs/>
          <w:color w:val="000000"/>
          <w:sz w:val="20"/>
          <w:szCs w:val="20"/>
          <w:lang w:eastAsia="en-IN"/>
        </w:rPr>
      </w:pPr>
      <w:r w:rsidRPr="00470480">
        <w:rPr>
          <w:rFonts w:ascii="Arial" w:eastAsia="Times New Roman" w:hAnsi="Arial" w:cs="Arial"/>
          <w:b/>
          <w:bCs/>
          <w:color w:val="000000"/>
          <w:sz w:val="20"/>
          <w:szCs w:val="20"/>
          <w:lang w:eastAsia="en-IN"/>
        </w:rPr>
        <w:t>Lending by Commercial Banks to NBFCs and Small Finance Banks (SFBs) to NBFC-MFIs, for the purpose of on-lending to priority sectors</w:t>
      </w:r>
    </w:p>
    <w:p w:rsidR="007E2B77" w:rsidRPr="00470480" w:rsidRDefault="007E2B77" w:rsidP="007E2B77">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Please refer to para nos. 21.2, 21.3, 22 and 24 of the </w:t>
      </w:r>
      <w:hyperlink r:id="rId17" w:tgtFrame="_blank" w:history="1">
        <w:r w:rsidRPr="00470480">
          <w:rPr>
            <w:rFonts w:ascii="Arial" w:eastAsia="Times New Roman" w:hAnsi="Arial" w:cs="Arial"/>
            <w:color w:val="0000FF"/>
            <w:sz w:val="20"/>
            <w:szCs w:val="20"/>
            <w:u w:val="single"/>
            <w:lang w:eastAsia="en-IN"/>
          </w:rPr>
          <w:t>Master Directions on Priority Sector Lending dated September 4, 2020</w:t>
        </w:r>
      </w:hyperlink>
      <w:r w:rsidRPr="00470480">
        <w:rPr>
          <w:rFonts w:ascii="Arial" w:eastAsia="Times New Roman" w:hAnsi="Arial" w:cs="Arial"/>
          <w:color w:val="000000"/>
          <w:sz w:val="20"/>
          <w:szCs w:val="20"/>
          <w:lang w:eastAsia="en-IN"/>
        </w:rPr>
        <w:t> (updated from time to time), along with </w:t>
      </w:r>
      <w:hyperlink r:id="rId18" w:tgtFrame="_blank" w:history="1">
        <w:r w:rsidRPr="00470480">
          <w:rPr>
            <w:rFonts w:ascii="Arial" w:eastAsia="Times New Roman" w:hAnsi="Arial" w:cs="Arial"/>
            <w:color w:val="0000FF"/>
            <w:sz w:val="20"/>
            <w:szCs w:val="20"/>
            <w:u w:val="single"/>
            <w:lang w:eastAsia="en-IN"/>
          </w:rPr>
          <w:t xml:space="preserve">notifications </w:t>
        </w:r>
        <w:proofErr w:type="spellStart"/>
        <w:r w:rsidRPr="00470480">
          <w:rPr>
            <w:rFonts w:ascii="Arial" w:eastAsia="Times New Roman" w:hAnsi="Arial" w:cs="Arial"/>
            <w:color w:val="0000FF"/>
            <w:sz w:val="20"/>
            <w:szCs w:val="20"/>
            <w:u w:val="single"/>
            <w:lang w:eastAsia="en-IN"/>
          </w:rPr>
          <w:t>FIDD.CO.Plan</w:t>
        </w:r>
        <w:proofErr w:type="spellEnd"/>
        <w:r w:rsidRPr="00470480">
          <w:rPr>
            <w:rFonts w:ascii="Arial" w:eastAsia="Times New Roman" w:hAnsi="Arial" w:cs="Arial"/>
            <w:color w:val="0000FF"/>
            <w:sz w:val="20"/>
            <w:szCs w:val="20"/>
            <w:u w:val="single"/>
            <w:lang w:eastAsia="en-IN"/>
          </w:rPr>
          <w:t>. BC.No.15/04.09.01/2021-22 dated October 8, 2021</w:t>
        </w:r>
      </w:hyperlink>
      <w:r w:rsidRPr="00470480">
        <w:rPr>
          <w:rFonts w:ascii="Arial" w:eastAsia="Times New Roman" w:hAnsi="Arial" w:cs="Arial"/>
          <w:color w:val="000000"/>
          <w:sz w:val="20"/>
          <w:szCs w:val="20"/>
          <w:lang w:eastAsia="en-IN"/>
        </w:rPr>
        <w:t> and </w:t>
      </w:r>
      <w:hyperlink r:id="rId19" w:tgtFrame="_blank" w:history="1">
        <w:r w:rsidRPr="00470480">
          <w:rPr>
            <w:rFonts w:ascii="Arial" w:eastAsia="Times New Roman" w:hAnsi="Arial" w:cs="Arial"/>
            <w:color w:val="0000FF"/>
            <w:sz w:val="20"/>
            <w:szCs w:val="20"/>
            <w:u w:val="single"/>
            <w:lang w:eastAsia="en-IN"/>
          </w:rPr>
          <w:t>FIDD.CO.Plan.BC.No.10/04.09.01/2021-22 dated May 5, 2021</w:t>
        </w:r>
      </w:hyperlink>
      <w:r w:rsidRPr="00470480">
        <w:rPr>
          <w:rFonts w:ascii="Arial" w:eastAsia="Times New Roman" w:hAnsi="Arial" w:cs="Arial"/>
          <w:color w:val="000000"/>
          <w:sz w:val="20"/>
          <w:szCs w:val="20"/>
          <w:lang w:eastAsia="en-IN"/>
        </w:rPr>
        <w:t> wherein lending by commercial banks to NBFCs and lending by Small Finance Banks (SFBs) to NBFC-MFIs, for the purpose of on-lending to certain priority sectors, was permitted up to March 31, 2022.</w:t>
      </w:r>
    </w:p>
    <w:p w:rsidR="007E2B77" w:rsidRPr="00470480" w:rsidRDefault="007E2B77" w:rsidP="007E2B77">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2. To ensure continuation of the synergies that have been developed between banks and NBFCs in delivering credit to the specified priority sectors, it has been decided to allow the above facility on an on-going basis.</w:t>
      </w:r>
    </w:p>
    <w:p w:rsidR="007E2B77" w:rsidRPr="00470480" w:rsidRDefault="007E2B77" w:rsidP="007E2B77">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3. Bank credit to NBFCs (including HFCs) for on-lending will be allowed up to an overall limit of 5 percent of an individual bank’s total priority sector lending in case of commercial banks. In case of SFBs, credit to NBFC-MFIs and other MFIs (Societies, Trusts, etc.) which are members of RBI recognized ‘Self-Regulatory Organisation’ of the sector, will be allowed up to an overall limit of 10 percent of an individual bank’s total priority sector lending. These limits shall be computed by averaging across four quarters of the financial year, to determine adherence to the prescribed cap.</w:t>
      </w:r>
    </w:p>
    <w:p w:rsidR="007E2B77" w:rsidRPr="00470480" w:rsidRDefault="007E2B77" w:rsidP="007E2B77">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 xml:space="preserve">4. SFBs are allowed to lend to registered NBFC-MFIs and other MFIs which have a ‘gross loan portfolio’ (GLP) of up to ₹500 </w:t>
      </w:r>
      <w:proofErr w:type="gramStart"/>
      <w:r w:rsidRPr="00470480">
        <w:rPr>
          <w:rFonts w:ascii="Arial" w:eastAsia="Times New Roman" w:hAnsi="Arial" w:cs="Arial"/>
          <w:color w:val="000000"/>
          <w:sz w:val="20"/>
          <w:szCs w:val="20"/>
          <w:lang w:eastAsia="en-IN"/>
        </w:rPr>
        <w:t>crore</w:t>
      </w:r>
      <w:proofErr w:type="gramEnd"/>
      <w:r w:rsidRPr="00470480">
        <w:rPr>
          <w:rFonts w:ascii="Arial" w:eastAsia="Times New Roman" w:hAnsi="Arial" w:cs="Arial"/>
          <w:color w:val="000000"/>
          <w:sz w:val="20"/>
          <w:szCs w:val="20"/>
          <w:lang w:eastAsia="en-IN"/>
        </w:rPr>
        <w:t xml:space="preserve"> as on March 31 of the previous financial year, for the purpose of on-lending to priority sector. In case the GLP of the NBFC-MFIs/other MFIs exceeds the stipulated limit at a later date, all priority sector loans created prior to exceeding the GLP limit will continue to be classified by the SFBs as PSL till repayment/maturity, whichever is earlier.</w:t>
      </w:r>
    </w:p>
    <w:p w:rsidR="007E2B77" w:rsidRPr="00470480" w:rsidRDefault="007E2B77" w:rsidP="007E2B77">
      <w:pPr>
        <w:spacing w:before="100" w:beforeAutospacing="1" w:after="100" w:afterAutospacing="1" w:line="240" w:lineRule="auto"/>
        <w:jc w:val="both"/>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Yours faithfully,</w:t>
      </w:r>
    </w:p>
    <w:p w:rsidR="007E2B77" w:rsidRPr="00470480" w:rsidRDefault="007E2B77" w:rsidP="007E2B77">
      <w:pPr>
        <w:spacing w:before="100" w:beforeAutospacing="1" w:after="100" w:afterAutospacing="1" w:line="240" w:lineRule="auto"/>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w:t>
      </w:r>
      <w:proofErr w:type="spellStart"/>
      <w:r w:rsidRPr="00470480">
        <w:rPr>
          <w:rFonts w:ascii="Arial" w:eastAsia="Times New Roman" w:hAnsi="Arial" w:cs="Arial"/>
          <w:color w:val="000000"/>
          <w:sz w:val="20"/>
          <w:szCs w:val="20"/>
          <w:lang w:eastAsia="en-IN"/>
        </w:rPr>
        <w:t>Sonali</w:t>
      </w:r>
      <w:proofErr w:type="spellEnd"/>
      <w:r w:rsidRPr="00470480">
        <w:rPr>
          <w:rFonts w:ascii="Arial" w:eastAsia="Times New Roman" w:hAnsi="Arial" w:cs="Arial"/>
          <w:color w:val="000000"/>
          <w:sz w:val="20"/>
          <w:szCs w:val="20"/>
          <w:lang w:eastAsia="en-IN"/>
        </w:rPr>
        <w:t xml:space="preserve"> Sen Gupta)</w:t>
      </w:r>
      <w:r w:rsidRPr="00470480">
        <w:rPr>
          <w:rFonts w:ascii="Arial" w:eastAsia="Times New Roman" w:hAnsi="Arial" w:cs="Arial"/>
          <w:color w:val="000000"/>
          <w:sz w:val="20"/>
          <w:szCs w:val="20"/>
          <w:lang w:eastAsia="en-IN"/>
        </w:rPr>
        <w:br/>
        <w:t>Chief General Manager-in-Charge</w:t>
      </w:r>
    </w:p>
    <w:p w:rsidR="007E2B77" w:rsidRPr="00470480" w:rsidRDefault="007E2B77" w:rsidP="007E2B77">
      <w:pPr>
        <w:spacing w:before="100" w:beforeAutospacing="1" w:after="100" w:afterAutospacing="1" w:line="240" w:lineRule="auto"/>
        <w:rPr>
          <w:rFonts w:ascii="Arial" w:eastAsia="Times New Roman" w:hAnsi="Arial" w:cs="Arial"/>
          <w:color w:val="000000"/>
          <w:sz w:val="20"/>
          <w:szCs w:val="20"/>
          <w:lang w:eastAsia="en-IN"/>
        </w:rPr>
      </w:pPr>
    </w:p>
    <w:p w:rsidR="007E2B77" w:rsidRPr="00470480" w:rsidRDefault="007E2B77" w:rsidP="007E2B77">
      <w:pPr>
        <w:spacing w:before="100" w:beforeAutospacing="1" w:after="100" w:afterAutospacing="1" w:line="240" w:lineRule="auto"/>
        <w:rPr>
          <w:rFonts w:ascii="Arial" w:eastAsia="Times New Roman" w:hAnsi="Arial" w:cs="Arial"/>
          <w:color w:val="000000"/>
          <w:sz w:val="20"/>
          <w:szCs w:val="20"/>
          <w:lang w:eastAsia="en-IN"/>
        </w:rPr>
      </w:pPr>
      <w:r w:rsidRPr="00470480">
        <w:rPr>
          <w:rFonts w:ascii="Arial" w:eastAsia="Times New Roman" w:hAnsi="Arial" w:cs="Arial"/>
          <w:color w:val="000000"/>
          <w:sz w:val="20"/>
          <w:szCs w:val="20"/>
          <w:lang w:eastAsia="en-IN"/>
        </w:rPr>
        <w:t xml:space="preserve">Reference Link: </w:t>
      </w:r>
      <w:hyperlink r:id="rId20" w:history="1">
        <w:r w:rsidRPr="00470480">
          <w:rPr>
            <w:rStyle w:val="Hyperlink"/>
            <w:rFonts w:ascii="Arial" w:eastAsia="Times New Roman" w:hAnsi="Arial" w:cs="Arial"/>
            <w:sz w:val="20"/>
            <w:szCs w:val="20"/>
            <w:lang w:eastAsia="en-IN"/>
          </w:rPr>
          <w:t>https://www.rbi.org.in/Scripts/NotificationUser.aspx?Id=12317&amp;Mode=0</w:t>
        </w:r>
      </w:hyperlink>
    </w:p>
    <w:p w:rsidR="007E2B77" w:rsidRPr="00470480" w:rsidRDefault="007E2B77" w:rsidP="007E2B77">
      <w:pPr>
        <w:spacing w:before="100" w:beforeAutospacing="1" w:after="100" w:afterAutospacing="1" w:line="240" w:lineRule="auto"/>
        <w:rPr>
          <w:rFonts w:ascii="Arial" w:eastAsia="Times New Roman" w:hAnsi="Arial" w:cs="Arial"/>
          <w:color w:val="000000"/>
          <w:sz w:val="20"/>
          <w:szCs w:val="20"/>
          <w:lang w:eastAsia="en-IN"/>
        </w:rPr>
      </w:pPr>
    </w:p>
    <w:p w:rsidR="007E2B77" w:rsidRPr="00470480" w:rsidRDefault="007E2B77" w:rsidP="007E2B77">
      <w:pPr>
        <w:spacing w:before="100" w:beforeAutospacing="1" w:after="100" w:afterAutospacing="1" w:line="240" w:lineRule="auto"/>
        <w:rPr>
          <w:rFonts w:ascii="Arial" w:eastAsia="Times New Roman" w:hAnsi="Arial" w:cs="Arial"/>
          <w:color w:val="000000"/>
          <w:sz w:val="20"/>
          <w:szCs w:val="20"/>
          <w:lang w:eastAsia="en-IN"/>
        </w:rPr>
      </w:pPr>
    </w:p>
    <w:p w:rsidR="007E2B77" w:rsidRPr="00470480" w:rsidRDefault="007E2B77" w:rsidP="007E2B77">
      <w:pPr>
        <w:spacing w:before="100" w:beforeAutospacing="1" w:after="100" w:afterAutospacing="1" w:line="240" w:lineRule="auto"/>
        <w:rPr>
          <w:rFonts w:ascii="Arial" w:eastAsia="Times New Roman" w:hAnsi="Arial" w:cs="Arial"/>
          <w:color w:val="000000"/>
          <w:sz w:val="20"/>
          <w:szCs w:val="20"/>
          <w:lang w:eastAsia="en-IN"/>
        </w:rPr>
      </w:pPr>
    </w:p>
    <w:p w:rsidR="007E2B77" w:rsidRPr="00470480" w:rsidRDefault="007E2B77" w:rsidP="007E2B77">
      <w:pPr>
        <w:spacing w:before="100" w:beforeAutospacing="1" w:after="100" w:afterAutospacing="1" w:line="240" w:lineRule="auto"/>
        <w:rPr>
          <w:rFonts w:ascii="Arial" w:eastAsia="Times New Roman" w:hAnsi="Arial" w:cs="Arial"/>
          <w:color w:val="000000"/>
          <w:sz w:val="20"/>
          <w:szCs w:val="20"/>
          <w:lang w:eastAsia="en-IN"/>
        </w:rPr>
      </w:pPr>
      <w:r w:rsidRPr="00470480">
        <w:rPr>
          <w:rFonts w:ascii="Arial" w:hAnsi="Arial" w:cs="Arial"/>
          <w:b/>
          <w:bCs/>
          <w:color w:val="000000"/>
          <w:sz w:val="20"/>
          <w:szCs w:val="20"/>
        </w:rPr>
        <w:lastRenderedPageBreak/>
        <w:t>Review of Minimum Investment Grade Credit Ratings for Deposits of NBFCs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RBI/2022-23/37</w:t>
      </w:r>
      <w:r w:rsidRPr="00470480">
        <w:rPr>
          <w:rFonts w:ascii="Arial" w:hAnsi="Arial" w:cs="Arial"/>
          <w:color w:val="000000"/>
          <w:sz w:val="20"/>
          <w:szCs w:val="20"/>
        </w:rPr>
        <w:br/>
        <w:t>DOR.FIN.REC.No.30/03.10.001/2022-23</w:t>
      </w:r>
    </w:p>
    <w:p w:rsidR="007E2B77" w:rsidRPr="00470480" w:rsidRDefault="007E2B77" w:rsidP="007E2B77">
      <w:pPr>
        <w:pStyle w:val="NormalWeb"/>
        <w:jc w:val="right"/>
        <w:rPr>
          <w:rFonts w:ascii="Arial" w:hAnsi="Arial" w:cs="Arial"/>
          <w:color w:val="000000"/>
          <w:sz w:val="20"/>
          <w:szCs w:val="20"/>
        </w:rPr>
      </w:pPr>
      <w:r w:rsidRPr="00470480">
        <w:rPr>
          <w:rFonts w:ascii="Arial" w:hAnsi="Arial" w:cs="Arial"/>
          <w:color w:val="000000"/>
          <w:sz w:val="20"/>
          <w:szCs w:val="20"/>
        </w:rPr>
        <w:t>May 02, 2022</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All Deposit taking NBFCs (including deposit taking HFCs)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7E2B77" w:rsidRPr="00470480" w:rsidRDefault="007E2B77" w:rsidP="007E2B77">
      <w:pPr>
        <w:pStyle w:val="head"/>
        <w:jc w:val="both"/>
        <w:rPr>
          <w:rFonts w:ascii="Arial" w:hAnsi="Arial" w:cs="Arial"/>
          <w:b/>
          <w:bCs/>
          <w:color w:val="000000"/>
          <w:sz w:val="20"/>
          <w:szCs w:val="20"/>
        </w:rPr>
      </w:pPr>
      <w:r w:rsidRPr="00470480">
        <w:rPr>
          <w:rFonts w:ascii="Arial" w:hAnsi="Arial" w:cs="Arial"/>
          <w:b/>
          <w:bCs/>
          <w:color w:val="000000"/>
          <w:sz w:val="20"/>
          <w:szCs w:val="20"/>
        </w:rPr>
        <w:t>Review of Minimum Investment Grade Credit Ratings for Deposits of NBFCs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Please refer to para 9 of </w:t>
      </w:r>
      <w:hyperlink r:id="rId21" w:tgtFrame="_blank" w:history="1">
        <w:r w:rsidRPr="00470480">
          <w:rPr>
            <w:rStyle w:val="Hyperlink"/>
            <w:rFonts w:ascii="Arial" w:hAnsi="Arial" w:cs="Arial"/>
            <w:sz w:val="20"/>
            <w:szCs w:val="20"/>
          </w:rPr>
          <w:t>Master Direction – Non-Banking Financial Companies Acceptance of Public Deposits (Reserve Bank) Directions, 2016</w:t>
        </w:r>
      </w:hyperlink>
      <w:r w:rsidRPr="00470480">
        <w:rPr>
          <w:rFonts w:ascii="Arial" w:hAnsi="Arial" w:cs="Arial"/>
          <w:color w:val="000000"/>
          <w:sz w:val="20"/>
          <w:szCs w:val="20"/>
        </w:rPr>
        <w:t> wherein the names of approved credit rating agencies and their respective minimum investment grade credit rating for the purpose of accepting public deposits by NBFCs have been listed.</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2. On a review, it has been decided that the minimum investment grade credit rating for deposits of NBFCs shall be ‘BBB–’ from any of the SEBI-registered Credit Rating Agencies.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3. The </w:t>
      </w:r>
      <w:hyperlink r:id="rId22" w:tgtFrame="_blank" w:history="1">
        <w:r w:rsidRPr="00470480">
          <w:rPr>
            <w:rStyle w:val="Hyperlink"/>
            <w:rFonts w:ascii="Arial" w:hAnsi="Arial" w:cs="Arial"/>
            <w:sz w:val="20"/>
            <w:szCs w:val="20"/>
          </w:rPr>
          <w:t>Master Direction – Non-Banking Financial Companies Acceptance of Public Deposits (Reserve Bank) Directions, 2016</w:t>
        </w:r>
      </w:hyperlink>
      <w:r w:rsidRPr="00470480">
        <w:rPr>
          <w:rFonts w:ascii="Arial" w:hAnsi="Arial" w:cs="Arial"/>
          <w:color w:val="000000"/>
          <w:sz w:val="20"/>
          <w:szCs w:val="20"/>
        </w:rPr>
        <w:t> is being modified accordingly.</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7E2B77" w:rsidRPr="00470480" w:rsidRDefault="007E2B77" w:rsidP="007E2B77">
      <w:pPr>
        <w:pStyle w:val="NormalWeb"/>
        <w:rPr>
          <w:rFonts w:ascii="Arial" w:hAnsi="Arial" w:cs="Arial"/>
          <w:color w:val="000000"/>
          <w:sz w:val="20"/>
          <w:szCs w:val="20"/>
        </w:rPr>
      </w:pPr>
      <w:r w:rsidRPr="00470480">
        <w:rPr>
          <w:rFonts w:ascii="Arial" w:hAnsi="Arial" w:cs="Arial"/>
          <w:color w:val="000000"/>
          <w:sz w:val="20"/>
          <w:szCs w:val="20"/>
        </w:rPr>
        <w:t>(J.P. Sharma)</w:t>
      </w:r>
      <w:r w:rsidRPr="00470480">
        <w:rPr>
          <w:rFonts w:ascii="Arial" w:hAnsi="Arial" w:cs="Arial"/>
          <w:color w:val="000000"/>
          <w:sz w:val="20"/>
          <w:szCs w:val="20"/>
        </w:rPr>
        <w:br/>
        <w:t>Chief General Manager</w:t>
      </w:r>
    </w:p>
    <w:p w:rsidR="007E2B77" w:rsidRDefault="007E2B77" w:rsidP="007E2B77">
      <w:pPr>
        <w:pStyle w:val="NormalWeb"/>
        <w:rPr>
          <w:rFonts w:ascii="Arial" w:hAnsi="Arial" w:cs="Arial"/>
          <w:color w:val="000000"/>
          <w:sz w:val="20"/>
          <w:szCs w:val="20"/>
        </w:rPr>
      </w:pPr>
    </w:p>
    <w:p w:rsidR="007E2B77" w:rsidRDefault="007E2B77" w:rsidP="007E2B77">
      <w:pPr>
        <w:pStyle w:val="NormalWeb"/>
        <w:rPr>
          <w:rFonts w:ascii="Arial" w:hAnsi="Arial" w:cs="Arial"/>
          <w:color w:val="000000"/>
          <w:sz w:val="20"/>
          <w:szCs w:val="20"/>
        </w:rPr>
      </w:pPr>
    </w:p>
    <w:p w:rsidR="007E2B77" w:rsidRPr="00470480" w:rsidRDefault="007E2B77" w:rsidP="007E2B77">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23" w:history="1">
        <w:r w:rsidRPr="00470480">
          <w:rPr>
            <w:rStyle w:val="Hyperlink"/>
            <w:rFonts w:ascii="Arial" w:hAnsi="Arial" w:cs="Arial"/>
            <w:sz w:val="20"/>
            <w:szCs w:val="20"/>
          </w:rPr>
          <w:t>https://www.rbi.org.in/Scripts/NotificationUser.aspx?Id=12304&amp;Mode=0</w:t>
        </w:r>
      </w:hyperlink>
    </w:p>
    <w:p w:rsidR="007E2B77" w:rsidRPr="00470480" w:rsidRDefault="007E2B77" w:rsidP="007E2B77">
      <w:pPr>
        <w:pStyle w:val="NormalWeb"/>
        <w:rPr>
          <w:rFonts w:ascii="Arial" w:hAnsi="Arial" w:cs="Arial"/>
          <w:color w:val="000000"/>
          <w:sz w:val="20"/>
          <w:szCs w:val="20"/>
        </w:rPr>
      </w:pPr>
    </w:p>
    <w:p w:rsidR="007E2B77" w:rsidRPr="00470480" w:rsidRDefault="007E2B77" w:rsidP="007E2B77">
      <w:pPr>
        <w:spacing w:before="100" w:beforeAutospacing="1" w:after="100" w:afterAutospacing="1" w:line="240" w:lineRule="auto"/>
        <w:rPr>
          <w:rFonts w:ascii="Arial" w:eastAsia="Times New Roman" w:hAnsi="Arial" w:cs="Arial"/>
          <w:color w:val="000000"/>
          <w:sz w:val="20"/>
          <w:szCs w:val="20"/>
          <w:lang w:eastAsia="en-IN"/>
        </w:rPr>
      </w:pPr>
    </w:p>
    <w:p w:rsidR="007E2B77" w:rsidRPr="00470480" w:rsidRDefault="007E2B77" w:rsidP="007E2B77">
      <w:pPr>
        <w:spacing w:before="100" w:beforeAutospacing="1" w:after="100" w:afterAutospacing="1" w:line="240" w:lineRule="auto"/>
        <w:rPr>
          <w:rFonts w:ascii="Arial" w:eastAsia="Times New Roman" w:hAnsi="Arial" w:cs="Arial"/>
          <w:color w:val="000000"/>
          <w:sz w:val="20"/>
          <w:szCs w:val="20"/>
          <w:lang w:eastAsia="en-IN"/>
        </w:rPr>
      </w:pPr>
    </w:p>
    <w:p w:rsidR="007E2B77" w:rsidRPr="00470480" w:rsidRDefault="007E2B77" w:rsidP="007E2B77">
      <w:pPr>
        <w:spacing w:before="100" w:beforeAutospacing="1" w:after="100" w:afterAutospacing="1" w:line="240" w:lineRule="auto"/>
        <w:rPr>
          <w:rFonts w:ascii="Arial" w:hAnsi="Arial" w:cs="Arial"/>
          <w:b/>
          <w:bCs/>
          <w:color w:val="000000"/>
          <w:sz w:val="20"/>
          <w:szCs w:val="20"/>
        </w:rPr>
      </w:pPr>
    </w:p>
    <w:p w:rsidR="007E2B77" w:rsidRPr="00470480" w:rsidRDefault="007E2B77" w:rsidP="007E2B77">
      <w:pPr>
        <w:spacing w:before="100" w:beforeAutospacing="1" w:after="100" w:afterAutospacing="1" w:line="240" w:lineRule="auto"/>
        <w:rPr>
          <w:rFonts w:ascii="Arial" w:hAnsi="Arial" w:cs="Arial"/>
          <w:b/>
          <w:bCs/>
          <w:color w:val="000000"/>
          <w:sz w:val="20"/>
          <w:szCs w:val="20"/>
        </w:rPr>
      </w:pPr>
    </w:p>
    <w:p w:rsidR="007E2B77" w:rsidRPr="00470480" w:rsidRDefault="007E2B77" w:rsidP="007E2B77">
      <w:pPr>
        <w:spacing w:before="100" w:beforeAutospacing="1" w:after="100" w:afterAutospacing="1" w:line="240" w:lineRule="auto"/>
        <w:rPr>
          <w:rFonts w:ascii="Arial" w:hAnsi="Arial" w:cs="Arial"/>
          <w:b/>
          <w:bCs/>
          <w:color w:val="000000"/>
          <w:sz w:val="20"/>
          <w:szCs w:val="20"/>
        </w:rPr>
      </w:pPr>
    </w:p>
    <w:p w:rsidR="007E2B77" w:rsidRPr="00470480" w:rsidRDefault="007E2B77" w:rsidP="007E2B77">
      <w:pPr>
        <w:spacing w:before="100" w:beforeAutospacing="1" w:after="100" w:afterAutospacing="1" w:line="240" w:lineRule="auto"/>
        <w:rPr>
          <w:rFonts w:ascii="Arial" w:hAnsi="Arial" w:cs="Arial"/>
          <w:b/>
          <w:bCs/>
          <w:color w:val="000000"/>
          <w:sz w:val="20"/>
          <w:szCs w:val="20"/>
        </w:rPr>
      </w:pPr>
    </w:p>
    <w:p w:rsidR="007E2B77" w:rsidRPr="00470480" w:rsidRDefault="007E2B77" w:rsidP="007E2B77">
      <w:pPr>
        <w:spacing w:before="100" w:beforeAutospacing="1" w:after="100" w:afterAutospacing="1" w:line="240" w:lineRule="auto"/>
        <w:rPr>
          <w:rFonts w:ascii="Arial" w:hAnsi="Arial" w:cs="Arial"/>
          <w:b/>
          <w:bCs/>
          <w:color w:val="000000"/>
          <w:sz w:val="20"/>
          <w:szCs w:val="20"/>
        </w:rPr>
      </w:pPr>
    </w:p>
    <w:p w:rsidR="007E2B77" w:rsidRPr="00470480" w:rsidRDefault="007E2B77" w:rsidP="007E2B77">
      <w:pPr>
        <w:spacing w:before="100" w:beforeAutospacing="1" w:after="100" w:afterAutospacing="1" w:line="240" w:lineRule="auto"/>
        <w:rPr>
          <w:rFonts w:ascii="Arial" w:hAnsi="Arial" w:cs="Arial"/>
          <w:b/>
          <w:bCs/>
          <w:color w:val="000000"/>
          <w:sz w:val="20"/>
          <w:szCs w:val="20"/>
        </w:rPr>
      </w:pPr>
    </w:p>
    <w:p w:rsidR="007E2B77" w:rsidRDefault="007E2B77" w:rsidP="007E2B77">
      <w:pPr>
        <w:spacing w:before="100" w:beforeAutospacing="1" w:after="100" w:afterAutospacing="1" w:line="240" w:lineRule="auto"/>
        <w:rPr>
          <w:rFonts w:ascii="Arial" w:hAnsi="Arial" w:cs="Arial"/>
          <w:b/>
          <w:bCs/>
          <w:color w:val="000000"/>
          <w:sz w:val="20"/>
          <w:szCs w:val="20"/>
        </w:rPr>
      </w:pPr>
    </w:p>
    <w:p w:rsidR="007E2B77" w:rsidRPr="00470480" w:rsidRDefault="007E2B77" w:rsidP="007E2B77">
      <w:pPr>
        <w:spacing w:before="100" w:beforeAutospacing="1" w:after="100" w:afterAutospacing="1" w:line="240" w:lineRule="auto"/>
        <w:rPr>
          <w:rFonts w:ascii="Arial" w:hAnsi="Arial" w:cs="Arial"/>
          <w:b/>
          <w:bCs/>
          <w:color w:val="000000"/>
          <w:sz w:val="20"/>
          <w:szCs w:val="20"/>
        </w:rPr>
      </w:pPr>
      <w:r w:rsidRPr="00470480">
        <w:rPr>
          <w:rFonts w:ascii="Arial" w:hAnsi="Arial" w:cs="Arial"/>
          <w:b/>
          <w:bCs/>
          <w:color w:val="000000"/>
          <w:sz w:val="20"/>
          <w:szCs w:val="20"/>
        </w:rPr>
        <w:lastRenderedPageBreak/>
        <w:t>Guidelines on Compensation of Key Managerial Personnel (KMP) and Senior Management in NBFCs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RBI/2022-23/36</w:t>
      </w:r>
      <w:r w:rsidRPr="00470480">
        <w:rPr>
          <w:rFonts w:ascii="Arial" w:hAnsi="Arial" w:cs="Arial"/>
          <w:color w:val="000000"/>
          <w:sz w:val="20"/>
          <w:szCs w:val="20"/>
        </w:rPr>
        <w:br/>
        <w:t>DOR.GOV.REC.No.29/18.10.002/2022-23</w:t>
      </w:r>
    </w:p>
    <w:p w:rsidR="007E2B77" w:rsidRPr="00470480" w:rsidRDefault="007E2B77" w:rsidP="007E2B77">
      <w:pPr>
        <w:pStyle w:val="NormalWeb"/>
        <w:jc w:val="right"/>
        <w:rPr>
          <w:rFonts w:ascii="Arial" w:hAnsi="Arial" w:cs="Arial"/>
          <w:color w:val="000000"/>
          <w:sz w:val="20"/>
          <w:szCs w:val="20"/>
        </w:rPr>
      </w:pPr>
      <w:r w:rsidRPr="00470480">
        <w:rPr>
          <w:rFonts w:ascii="Arial" w:hAnsi="Arial" w:cs="Arial"/>
          <w:color w:val="000000"/>
          <w:sz w:val="20"/>
          <w:szCs w:val="20"/>
        </w:rPr>
        <w:t>April 29, 2022</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All Non-Banking Financial Companies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Madam/Sir,</w:t>
      </w:r>
    </w:p>
    <w:p w:rsidR="007E2B77" w:rsidRPr="00470480" w:rsidRDefault="007E2B77" w:rsidP="007E2B77">
      <w:pPr>
        <w:pStyle w:val="head"/>
        <w:jc w:val="both"/>
        <w:rPr>
          <w:rFonts w:ascii="Arial" w:hAnsi="Arial" w:cs="Arial"/>
          <w:b/>
          <w:bCs/>
          <w:color w:val="000000"/>
          <w:sz w:val="20"/>
          <w:szCs w:val="20"/>
        </w:rPr>
      </w:pPr>
      <w:r w:rsidRPr="00470480">
        <w:rPr>
          <w:rFonts w:ascii="Arial" w:hAnsi="Arial" w:cs="Arial"/>
          <w:b/>
          <w:bCs/>
          <w:color w:val="000000"/>
          <w:sz w:val="20"/>
          <w:szCs w:val="20"/>
        </w:rPr>
        <w:t>Guidelines on Compensation of Key Managerial Personnel (KMP) and Senior Management in NBFCs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As you are aware, a revised Scale Based Regulatory (SBR) framework for NBFCs was put in place vide </w:t>
      </w:r>
      <w:hyperlink r:id="rId24" w:tgtFrame="_blank" w:history="1">
        <w:r w:rsidRPr="00470480">
          <w:rPr>
            <w:rStyle w:val="Hyperlink"/>
            <w:rFonts w:ascii="Arial" w:hAnsi="Arial" w:cs="Arial"/>
            <w:sz w:val="20"/>
            <w:szCs w:val="20"/>
          </w:rPr>
          <w:t>circular DOR.CRE.REC.No.60/03.10.001/2021-22 October 22, 2021</w:t>
        </w:r>
      </w:hyperlink>
      <w:r w:rsidRPr="00470480">
        <w:rPr>
          <w:rFonts w:ascii="Arial" w:hAnsi="Arial" w:cs="Arial"/>
          <w:color w:val="000000"/>
          <w:sz w:val="20"/>
          <w:szCs w:val="20"/>
        </w:rPr>
        <w:t xml:space="preserve">. In terms of para 3.2.3 (h) of the said circular, in order to address issues arising out of excessive risk taking caused by misaligned compensation packages, NBFCs are required to put in place a Board approved compensation policy. The policy shall at the minimum include, (a) constitution of a Remuneration Committee, (b) principles for fixed/ variable pay structures, and (c) </w:t>
      </w:r>
      <w:proofErr w:type="spellStart"/>
      <w:r w:rsidRPr="00470480">
        <w:rPr>
          <w:rFonts w:ascii="Arial" w:hAnsi="Arial" w:cs="Arial"/>
          <w:color w:val="000000"/>
          <w:sz w:val="20"/>
          <w:szCs w:val="20"/>
        </w:rPr>
        <w:t>malus</w:t>
      </w:r>
      <w:proofErr w:type="spellEnd"/>
      <w:r w:rsidRPr="00470480">
        <w:rPr>
          <w:rFonts w:ascii="Arial" w:hAnsi="Arial" w:cs="Arial"/>
          <w:color w:val="000000"/>
          <w:sz w:val="20"/>
          <w:szCs w:val="20"/>
        </w:rPr>
        <w:t>/ clawback provisions. Further, in terms of para 3.2.3 (</w:t>
      </w:r>
      <w:proofErr w:type="spellStart"/>
      <w:r w:rsidRPr="00470480">
        <w:rPr>
          <w:rFonts w:ascii="Arial" w:hAnsi="Arial" w:cs="Arial"/>
          <w:color w:val="000000"/>
          <w:sz w:val="20"/>
          <w:szCs w:val="20"/>
        </w:rPr>
        <w:t>i</w:t>
      </w:r>
      <w:proofErr w:type="spellEnd"/>
      <w:r w:rsidRPr="00470480">
        <w:rPr>
          <w:rFonts w:ascii="Arial" w:hAnsi="Arial" w:cs="Arial"/>
          <w:color w:val="000000"/>
          <w:sz w:val="20"/>
          <w:szCs w:val="20"/>
        </w:rPr>
        <w:t>) it was also decided that the Board of NBFCs should delineate the role of various committees, including Nomination and Remuneration Committee (NRC). It was envisaged that detailed circulars will be issued in due course by the Reserve Bank. Accordingly, these guidelines have now been framed and furnished in </w:t>
      </w:r>
      <w:hyperlink r:id="rId25" w:anchor="AN_1"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2. The guidelines are intended only for providing broad guidance to NBFCs and their NRCs in formulating their compensation policy. While formulating the compensation policy, it has to be ensured that all statutory mandates and the rules and directions issued under them are fully complied with.</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3. These guidelines will be applicable for fixing the compensation policy of Key Managerial Personnel</w:t>
      </w:r>
      <w:hyperlink r:id="rId26" w:anchor="F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 and members of senior management</w:t>
      </w:r>
      <w:hyperlink r:id="rId27" w:anchor="F2" w:history="1">
        <w:r w:rsidRPr="00470480">
          <w:rPr>
            <w:rStyle w:val="Hyperlink"/>
            <w:rFonts w:ascii="Arial" w:hAnsi="Arial" w:cs="Arial"/>
            <w:sz w:val="20"/>
            <w:szCs w:val="20"/>
            <w:vertAlign w:val="superscript"/>
          </w:rPr>
          <w:t>2</w:t>
        </w:r>
      </w:hyperlink>
      <w:r w:rsidRPr="00470480">
        <w:rPr>
          <w:rFonts w:ascii="Arial" w:hAnsi="Arial" w:cs="Arial"/>
          <w:color w:val="000000"/>
          <w:sz w:val="20"/>
          <w:szCs w:val="20"/>
        </w:rPr>
        <w:t> of all Non-Banking Financial Companies under SBR framework, except those categorised under ‘Base Layer’</w:t>
      </w:r>
      <w:hyperlink r:id="rId28" w:anchor="F3" w:history="1">
        <w:r w:rsidRPr="00470480">
          <w:rPr>
            <w:rStyle w:val="Hyperlink"/>
            <w:rFonts w:ascii="Arial" w:hAnsi="Arial" w:cs="Arial"/>
            <w:sz w:val="20"/>
            <w:szCs w:val="20"/>
            <w:vertAlign w:val="superscript"/>
          </w:rPr>
          <w:t>3</w:t>
        </w:r>
      </w:hyperlink>
      <w:r w:rsidRPr="00470480">
        <w:rPr>
          <w:rFonts w:ascii="Arial" w:hAnsi="Arial" w:cs="Arial"/>
          <w:color w:val="000000"/>
          <w:sz w:val="20"/>
          <w:szCs w:val="20"/>
        </w:rPr>
        <w:t> and Government owned NBFCs.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4. These guidelines shall come into effect from April 01, 2023.</w:t>
      </w:r>
    </w:p>
    <w:p w:rsidR="007E2B77" w:rsidRPr="00470480" w:rsidRDefault="007E2B77" w:rsidP="007E2B77">
      <w:pPr>
        <w:pStyle w:val="head"/>
        <w:jc w:val="both"/>
        <w:rPr>
          <w:rFonts w:ascii="Arial" w:hAnsi="Arial" w:cs="Arial"/>
          <w:b/>
          <w:bCs/>
          <w:color w:val="000000"/>
          <w:sz w:val="20"/>
          <w:szCs w:val="20"/>
        </w:rPr>
      </w:pPr>
      <w:r w:rsidRPr="00470480">
        <w:rPr>
          <w:rFonts w:ascii="Arial" w:hAnsi="Arial" w:cs="Arial"/>
          <w:b/>
          <w:bCs/>
          <w:color w:val="000000"/>
          <w:sz w:val="20"/>
          <w:szCs w:val="20"/>
        </w:rPr>
        <w:t>Yours faithfully</w:t>
      </w:r>
    </w:p>
    <w:p w:rsidR="007E2B77" w:rsidRPr="00470480" w:rsidRDefault="007E2B77" w:rsidP="007E2B77">
      <w:pPr>
        <w:pStyle w:val="head"/>
        <w:rPr>
          <w:rFonts w:ascii="Arial" w:hAnsi="Arial" w:cs="Arial"/>
          <w:b/>
          <w:bCs/>
          <w:color w:val="000000"/>
          <w:sz w:val="20"/>
          <w:szCs w:val="20"/>
        </w:rPr>
      </w:pPr>
      <w:r w:rsidRPr="00470480">
        <w:rPr>
          <w:rFonts w:ascii="Arial" w:hAnsi="Arial" w:cs="Arial"/>
          <w:b/>
          <w:bCs/>
          <w:color w:val="000000"/>
          <w:sz w:val="20"/>
          <w:szCs w:val="20"/>
        </w:rPr>
        <w:t>(</w:t>
      </w:r>
      <w:proofErr w:type="spellStart"/>
      <w:r w:rsidRPr="00470480">
        <w:rPr>
          <w:rFonts w:ascii="Arial" w:hAnsi="Arial" w:cs="Arial"/>
          <w:b/>
          <w:bCs/>
          <w:color w:val="000000"/>
          <w:sz w:val="20"/>
          <w:szCs w:val="20"/>
        </w:rPr>
        <w:t>Scenta</w:t>
      </w:r>
      <w:proofErr w:type="spellEnd"/>
      <w:r w:rsidRPr="00470480">
        <w:rPr>
          <w:rFonts w:ascii="Arial" w:hAnsi="Arial" w:cs="Arial"/>
          <w:b/>
          <w:bCs/>
          <w:color w:val="000000"/>
          <w:sz w:val="20"/>
          <w:szCs w:val="20"/>
        </w:rPr>
        <w:t xml:space="preserve"> Joy)</w:t>
      </w:r>
      <w:r w:rsidRPr="00470480">
        <w:rPr>
          <w:rFonts w:ascii="Arial" w:hAnsi="Arial" w:cs="Arial"/>
          <w:b/>
          <w:bCs/>
          <w:color w:val="000000"/>
          <w:sz w:val="20"/>
          <w:szCs w:val="20"/>
        </w:rPr>
        <w:br/>
        <w:t>Chief General Manager</w:t>
      </w:r>
    </w:p>
    <w:p w:rsidR="007E2B77" w:rsidRPr="00470480" w:rsidRDefault="007E2B77" w:rsidP="007E2B77">
      <w:pPr>
        <w:pStyle w:val="head"/>
        <w:rPr>
          <w:rFonts w:ascii="Arial" w:hAnsi="Arial" w:cs="Arial"/>
          <w:b/>
          <w:bCs/>
          <w:color w:val="000000"/>
          <w:sz w:val="20"/>
          <w:szCs w:val="20"/>
        </w:rPr>
      </w:pPr>
    </w:p>
    <w:p w:rsidR="007E2B77" w:rsidRPr="00470480" w:rsidRDefault="007E2B77" w:rsidP="007E2B77">
      <w:pPr>
        <w:pStyle w:val="head"/>
        <w:rPr>
          <w:rFonts w:ascii="Arial" w:hAnsi="Arial" w:cs="Arial"/>
          <w:bCs/>
          <w:color w:val="000000"/>
          <w:sz w:val="20"/>
          <w:szCs w:val="20"/>
        </w:rPr>
      </w:pPr>
      <w:r w:rsidRPr="00470480">
        <w:rPr>
          <w:rFonts w:ascii="Arial" w:hAnsi="Arial" w:cs="Arial"/>
          <w:bCs/>
          <w:color w:val="000000"/>
          <w:sz w:val="20"/>
          <w:szCs w:val="20"/>
        </w:rPr>
        <w:t xml:space="preserve">Reference Link: </w:t>
      </w:r>
      <w:hyperlink r:id="rId29" w:history="1">
        <w:r w:rsidRPr="00470480">
          <w:rPr>
            <w:rStyle w:val="Hyperlink"/>
            <w:rFonts w:ascii="Arial" w:hAnsi="Arial" w:cs="Arial"/>
            <w:bCs/>
            <w:sz w:val="20"/>
            <w:szCs w:val="20"/>
          </w:rPr>
          <w:t>https://www.rbi.org.in/Scripts/NotificationUser.aspx?Id=12303&amp;Mode=0</w:t>
        </w:r>
      </w:hyperlink>
    </w:p>
    <w:p w:rsidR="007E2B77" w:rsidRPr="00470480" w:rsidRDefault="007E2B77" w:rsidP="007E2B77">
      <w:pPr>
        <w:pStyle w:val="head"/>
        <w:rPr>
          <w:rFonts w:ascii="Arial" w:hAnsi="Arial" w:cs="Arial"/>
          <w:bCs/>
          <w:color w:val="000000"/>
          <w:sz w:val="20"/>
          <w:szCs w:val="20"/>
        </w:rPr>
      </w:pPr>
    </w:p>
    <w:p w:rsidR="007E2B77" w:rsidRPr="00470480" w:rsidRDefault="007E2B77" w:rsidP="007E2B77">
      <w:pPr>
        <w:pStyle w:val="head"/>
        <w:rPr>
          <w:rFonts w:ascii="Arial" w:hAnsi="Arial" w:cs="Arial"/>
          <w:bCs/>
          <w:color w:val="000000"/>
          <w:sz w:val="20"/>
          <w:szCs w:val="20"/>
        </w:rPr>
      </w:pPr>
    </w:p>
    <w:p w:rsidR="007E2B77" w:rsidRPr="00470480" w:rsidRDefault="007E2B77" w:rsidP="007E2B77">
      <w:pPr>
        <w:pStyle w:val="head"/>
        <w:rPr>
          <w:rFonts w:ascii="Arial" w:hAnsi="Arial" w:cs="Arial"/>
          <w:bCs/>
          <w:color w:val="000000"/>
          <w:sz w:val="20"/>
          <w:szCs w:val="20"/>
        </w:rPr>
      </w:pPr>
    </w:p>
    <w:p w:rsidR="007E2B77" w:rsidRPr="00470480" w:rsidRDefault="007E2B77" w:rsidP="007E2B77">
      <w:pPr>
        <w:pStyle w:val="head"/>
        <w:rPr>
          <w:rFonts w:ascii="Arial" w:hAnsi="Arial" w:cs="Arial"/>
          <w:bCs/>
          <w:color w:val="000000"/>
          <w:sz w:val="20"/>
          <w:szCs w:val="20"/>
        </w:rPr>
      </w:pPr>
    </w:p>
    <w:p w:rsidR="007E2B77" w:rsidRPr="00470480" w:rsidRDefault="007E2B77" w:rsidP="007E2B77">
      <w:pPr>
        <w:pStyle w:val="head"/>
        <w:rPr>
          <w:rFonts w:ascii="Arial" w:hAnsi="Arial" w:cs="Arial"/>
          <w:bCs/>
          <w:color w:val="000000"/>
          <w:sz w:val="20"/>
          <w:szCs w:val="20"/>
        </w:rPr>
      </w:pPr>
    </w:p>
    <w:p w:rsidR="007E2B77" w:rsidRDefault="007E2B77">
      <w:r>
        <w:br w:type="page"/>
      </w:r>
    </w:p>
    <w:p w:rsidR="007E2B77" w:rsidRPr="00470480" w:rsidRDefault="007E2B77" w:rsidP="007E2B77">
      <w:pPr>
        <w:pStyle w:val="NormalWeb"/>
        <w:rPr>
          <w:rFonts w:ascii="Arial" w:hAnsi="Arial" w:cs="Arial"/>
          <w:b/>
          <w:bCs/>
          <w:color w:val="000000"/>
          <w:sz w:val="20"/>
          <w:szCs w:val="20"/>
        </w:rPr>
      </w:pPr>
      <w:r w:rsidRPr="00470480">
        <w:rPr>
          <w:rFonts w:ascii="Arial" w:hAnsi="Arial" w:cs="Arial"/>
          <w:b/>
          <w:bCs/>
          <w:color w:val="000000"/>
          <w:sz w:val="20"/>
          <w:szCs w:val="20"/>
        </w:rPr>
        <w:lastRenderedPageBreak/>
        <w:t>Master Direction – Credit Card and Debit Card – Issuance and Conduct Directions, 2022</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RBI/2022-23/92</w:t>
      </w:r>
      <w:r w:rsidRPr="00470480">
        <w:rPr>
          <w:rFonts w:ascii="Arial" w:hAnsi="Arial" w:cs="Arial"/>
          <w:color w:val="000000"/>
          <w:sz w:val="20"/>
          <w:szCs w:val="20"/>
        </w:rPr>
        <w:br/>
        <w:t>DoR.AUT.REC.No.27/24.01.041/2022-23</w:t>
      </w:r>
    </w:p>
    <w:p w:rsidR="007E2B77" w:rsidRPr="00470480" w:rsidRDefault="007E2B77" w:rsidP="007E2B77">
      <w:pPr>
        <w:pStyle w:val="NormalWeb"/>
        <w:jc w:val="right"/>
        <w:rPr>
          <w:rFonts w:ascii="Arial" w:hAnsi="Arial" w:cs="Arial"/>
          <w:color w:val="000000"/>
          <w:sz w:val="20"/>
          <w:szCs w:val="20"/>
        </w:rPr>
      </w:pPr>
      <w:r w:rsidRPr="00470480">
        <w:rPr>
          <w:rFonts w:ascii="Arial" w:hAnsi="Arial" w:cs="Arial"/>
          <w:color w:val="000000"/>
          <w:sz w:val="20"/>
          <w:szCs w:val="20"/>
        </w:rPr>
        <w:t>April 21, 2022</w:t>
      </w:r>
    </w:p>
    <w:p w:rsidR="007E2B77" w:rsidRPr="00470480" w:rsidRDefault="007E2B77" w:rsidP="007E2B77">
      <w:pPr>
        <w:pStyle w:val="head"/>
        <w:jc w:val="center"/>
        <w:rPr>
          <w:rFonts w:ascii="Arial" w:hAnsi="Arial" w:cs="Arial"/>
          <w:b/>
          <w:bCs/>
          <w:color w:val="000000"/>
          <w:sz w:val="20"/>
          <w:szCs w:val="20"/>
        </w:rPr>
      </w:pPr>
      <w:r w:rsidRPr="00470480">
        <w:rPr>
          <w:rFonts w:ascii="Arial" w:hAnsi="Arial" w:cs="Arial"/>
          <w:b/>
          <w:bCs/>
          <w:color w:val="000000"/>
          <w:sz w:val="20"/>
          <w:szCs w:val="20"/>
        </w:rPr>
        <w:t>Master Direction – Credit Card and Debit Card – Issuance and Conduct Directions, 2022</w:t>
      </w:r>
    </w:p>
    <w:p w:rsidR="007E2B77"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In exercise of the powers conferred by Sections 35A and Section 56 of the Banking Regulation Act, 1949 and Chapter IIIB of the Reserve Bank of India Act, 1934, the Reserve Bank of India being satisfied that it is necessary and expedient in the public interest so to do, hereby, issues the Directions hereinafter specified.</w:t>
      </w:r>
    </w:p>
    <w:p w:rsidR="007E2B77" w:rsidRPr="005373C0" w:rsidRDefault="007E2B77" w:rsidP="007E2B77">
      <w:r>
        <w:t>The direction details on the following:</w:t>
      </w:r>
    </w:p>
    <w:p w:rsidR="007E2B77" w:rsidRPr="00470480" w:rsidRDefault="007E2B77" w:rsidP="007E2B77">
      <w:pPr>
        <w:pStyle w:val="head"/>
        <w:rPr>
          <w:rFonts w:ascii="Arial" w:hAnsi="Arial" w:cs="Arial"/>
          <w:b/>
          <w:bCs/>
          <w:color w:val="000000"/>
          <w:sz w:val="20"/>
          <w:szCs w:val="20"/>
        </w:rPr>
      </w:pPr>
      <w:r>
        <w:rPr>
          <w:rFonts w:ascii="Arial" w:hAnsi="Arial" w:cs="Arial"/>
          <w:b/>
          <w:bCs/>
          <w:color w:val="000000"/>
          <w:sz w:val="20"/>
          <w:szCs w:val="20"/>
        </w:rPr>
        <w:t xml:space="preserve">CHAPTER – I: </w:t>
      </w:r>
      <w:r w:rsidRPr="00470480">
        <w:rPr>
          <w:rFonts w:ascii="Arial" w:hAnsi="Arial" w:cs="Arial"/>
          <w:b/>
          <w:bCs/>
          <w:color w:val="000000"/>
          <w:sz w:val="20"/>
          <w:szCs w:val="20"/>
        </w:rPr>
        <w:t>PRELIMINARY</w:t>
      </w:r>
    </w:p>
    <w:p w:rsidR="007E2B77" w:rsidRPr="00470480" w:rsidRDefault="007E2B77" w:rsidP="007E2B77">
      <w:pPr>
        <w:pStyle w:val="head"/>
        <w:rPr>
          <w:rFonts w:ascii="Arial" w:hAnsi="Arial" w:cs="Arial"/>
          <w:b/>
          <w:bCs/>
          <w:color w:val="000000"/>
          <w:sz w:val="20"/>
          <w:szCs w:val="20"/>
        </w:rPr>
      </w:pPr>
      <w:r>
        <w:rPr>
          <w:rFonts w:ascii="Arial" w:hAnsi="Arial" w:cs="Arial"/>
          <w:b/>
          <w:bCs/>
          <w:color w:val="000000"/>
          <w:sz w:val="20"/>
          <w:szCs w:val="20"/>
        </w:rPr>
        <w:t xml:space="preserve">CHAPTER – II: </w:t>
      </w:r>
      <w:r w:rsidRPr="00470480">
        <w:rPr>
          <w:rFonts w:ascii="Arial" w:hAnsi="Arial" w:cs="Arial"/>
          <w:b/>
          <w:bCs/>
          <w:color w:val="000000"/>
          <w:sz w:val="20"/>
          <w:szCs w:val="20"/>
        </w:rPr>
        <w:t>CONDUCT OF CREDIT CARD BUSINESS</w:t>
      </w:r>
    </w:p>
    <w:p w:rsidR="007E2B77" w:rsidRPr="00470480" w:rsidRDefault="007E2B77" w:rsidP="007E2B77">
      <w:pPr>
        <w:pStyle w:val="head"/>
        <w:rPr>
          <w:rFonts w:ascii="Arial" w:hAnsi="Arial" w:cs="Arial"/>
          <w:b/>
          <w:bCs/>
          <w:color w:val="000000"/>
          <w:sz w:val="20"/>
          <w:szCs w:val="20"/>
        </w:rPr>
      </w:pPr>
      <w:r>
        <w:rPr>
          <w:rFonts w:ascii="Arial" w:hAnsi="Arial" w:cs="Arial"/>
          <w:b/>
          <w:bCs/>
          <w:color w:val="000000"/>
          <w:sz w:val="20"/>
          <w:szCs w:val="20"/>
        </w:rPr>
        <w:t xml:space="preserve">CHAPTER – III: </w:t>
      </w:r>
      <w:r w:rsidRPr="00470480">
        <w:rPr>
          <w:rFonts w:ascii="Arial" w:hAnsi="Arial" w:cs="Arial"/>
          <w:b/>
          <w:bCs/>
          <w:color w:val="000000"/>
          <w:sz w:val="20"/>
          <w:szCs w:val="20"/>
        </w:rPr>
        <w:t>ISSUE OF DEBIT CARD BY BANKS</w:t>
      </w:r>
    </w:p>
    <w:p w:rsidR="007E2B77" w:rsidRPr="00470480" w:rsidRDefault="007E2B77" w:rsidP="007E2B77">
      <w:pPr>
        <w:pStyle w:val="head"/>
        <w:rPr>
          <w:rFonts w:ascii="Arial" w:hAnsi="Arial" w:cs="Arial"/>
          <w:b/>
          <w:bCs/>
          <w:color w:val="000000"/>
          <w:sz w:val="20"/>
          <w:szCs w:val="20"/>
        </w:rPr>
      </w:pPr>
      <w:r>
        <w:rPr>
          <w:rFonts w:ascii="Arial" w:hAnsi="Arial" w:cs="Arial"/>
          <w:b/>
          <w:bCs/>
          <w:color w:val="000000"/>
          <w:sz w:val="20"/>
          <w:szCs w:val="20"/>
        </w:rPr>
        <w:t xml:space="preserve">CHAPTER – IV: </w:t>
      </w:r>
      <w:r w:rsidRPr="00470480">
        <w:rPr>
          <w:rFonts w:ascii="Arial" w:hAnsi="Arial" w:cs="Arial"/>
          <w:b/>
          <w:bCs/>
          <w:color w:val="000000"/>
          <w:sz w:val="20"/>
          <w:szCs w:val="20"/>
        </w:rPr>
        <w:t>CO-BRANDING ARRANGEMENT</w:t>
      </w:r>
    </w:p>
    <w:p w:rsidR="007E2B77" w:rsidRPr="00470480" w:rsidRDefault="007E2B77" w:rsidP="007E2B77">
      <w:pPr>
        <w:pStyle w:val="head"/>
        <w:rPr>
          <w:rFonts w:ascii="Arial" w:hAnsi="Arial" w:cs="Arial"/>
          <w:b/>
          <w:bCs/>
          <w:color w:val="000000"/>
          <w:sz w:val="20"/>
          <w:szCs w:val="20"/>
        </w:rPr>
      </w:pPr>
      <w:r>
        <w:rPr>
          <w:rFonts w:ascii="Arial" w:hAnsi="Arial" w:cs="Arial"/>
          <w:b/>
          <w:bCs/>
          <w:color w:val="000000"/>
          <w:sz w:val="20"/>
          <w:szCs w:val="20"/>
        </w:rPr>
        <w:t xml:space="preserve">CHAPTER – V: </w:t>
      </w:r>
      <w:r w:rsidRPr="00470480">
        <w:rPr>
          <w:rFonts w:ascii="Arial" w:hAnsi="Arial" w:cs="Arial"/>
          <w:b/>
          <w:bCs/>
          <w:color w:val="000000"/>
          <w:sz w:val="20"/>
          <w:szCs w:val="20"/>
        </w:rPr>
        <w:t>GENERAL GUIDELINES FOR CREDIT AND DEBIT CARDS</w:t>
      </w:r>
    </w:p>
    <w:p w:rsidR="007E2B77" w:rsidRPr="00470480" w:rsidRDefault="007E2B77" w:rsidP="007E2B77">
      <w:pPr>
        <w:pStyle w:val="head"/>
        <w:rPr>
          <w:rFonts w:ascii="Arial" w:hAnsi="Arial" w:cs="Arial"/>
          <w:b/>
          <w:bCs/>
          <w:color w:val="000000"/>
          <w:sz w:val="20"/>
          <w:szCs w:val="20"/>
        </w:rPr>
      </w:pPr>
      <w:r>
        <w:rPr>
          <w:rFonts w:ascii="Arial" w:hAnsi="Arial" w:cs="Arial"/>
          <w:b/>
          <w:bCs/>
          <w:color w:val="000000"/>
          <w:sz w:val="20"/>
          <w:szCs w:val="20"/>
        </w:rPr>
        <w:t xml:space="preserve">CHAPTER – VI: </w:t>
      </w:r>
      <w:r w:rsidRPr="00470480">
        <w:rPr>
          <w:rFonts w:ascii="Arial" w:hAnsi="Arial" w:cs="Arial"/>
          <w:b/>
          <w:bCs/>
          <w:color w:val="000000"/>
          <w:sz w:val="20"/>
          <w:szCs w:val="20"/>
        </w:rPr>
        <w:t>MISCELLANEOUS</w:t>
      </w:r>
    </w:p>
    <w:p w:rsidR="007E2B77" w:rsidRPr="00470480" w:rsidRDefault="007E2B77" w:rsidP="007E2B77">
      <w:pPr>
        <w:pStyle w:val="head"/>
        <w:rPr>
          <w:rFonts w:ascii="Arial" w:hAnsi="Arial" w:cs="Arial"/>
          <w:b/>
          <w:bCs/>
          <w:color w:val="000000"/>
          <w:sz w:val="20"/>
          <w:szCs w:val="20"/>
        </w:rPr>
      </w:pPr>
      <w:r>
        <w:rPr>
          <w:rFonts w:ascii="Arial" w:hAnsi="Arial" w:cs="Arial"/>
          <w:b/>
          <w:bCs/>
          <w:color w:val="000000"/>
          <w:sz w:val="20"/>
          <w:szCs w:val="20"/>
        </w:rPr>
        <w:t xml:space="preserve">CHAPTER – VII: </w:t>
      </w:r>
      <w:r w:rsidRPr="00470480">
        <w:rPr>
          <w:rFonts w:ascii="Arial" w:hAnsi="Arial" w:cs="Arial"/>
          <w:b/>
          <w:bCs/>
          <w:color w:val="000000"/>
          <w:sz w:val="20"/>
          <w:szCs w:val="20"/>
        </w:rPr>
        <w:t>EXEMPTIONS, INTERPRETATIONS AND REPEAL</w:t>
      </w:r>
    </w:p>
    <w:p w:rsidR="007E2B77" w:rsidRDefault="007E2B77" w:rsidP="007E2B77">
      <w:pPr>
        <w:pStyle w:val="NormalWeb"/>
        <w:rPr>
          <w:rFonts w:ascii="Arial" w:hAnsi="Arial" w:cs="Arial"/>
          <w:color w:val="000000"/>
          <w:sz w:val="20"/>
          <w:szCs w:val="20"/>
        </w:rPr>
      </w:pPr>
    </w:p>
    <w:p w:rsidR="007E2B77" w:rsidRDefault="007E2B77" w:rsidP="007E2B77">
      <w:pPr>
        <w:pStyle w:val="NormalWeb"/>
        <w:rPr>
          <w:rFonts w:ascii="Arial" w:hAnsi="Arial" w:cs="Arial"/>
          <w:color w:val="000000"/>
          <w:sz w:val="20"/>
          <w:szCs w:val="20"/>
        </w:rPr>
      </w:pPr>
      <w:r w:rsidRPr="0073686B">
        <w:rPr>
          <w:rFonts w:ascii="Arial" w:hAnsi="Arial" w:cs="Arial"/>
          <w:color w:val="000000"/>
          <w:sz w:val="20"/>
          <w:szCs w:val="20"/>
        </w:rPr>
        <w:t>Details under each of the above chapters can be read from the below link</w:t>
      </w:r>
    </w:p>
    <w:p w:rsidR="007E2B77" w:rsidRPr="00470480" w:rsidRDefault="007E2B77" w:rsidP="007E2B77">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30" w:history="1">
        <w:r w:rsidRPr="00470480">
          <w:rPr>
            <w:rStyle w:val="Hyperlink"/>
            <w:rFonts w:ascii="Arial" w:hAnsi="Arial" w:cs="Arial"/>
            <w:sz w:val="20"/>
            <w:szCs w:val="20"/>
          </w:rPr>
          <w:t>https://www.rbi.org.in/Scripts/NotificationUser.aspx?Id=12300&amp;Mode=0</w:t>
        </w:r>
      </w:hyperlink>
    </w:p>
    <w:p w:rsidR="007E2B77" w:rsidRPr="00470480" w:rsidRDefault="007E2B77" w:rsidP="007E2B77">
      <w:pPr>
        <w:pStyle w:val="NormalWeb"/>
        <w:rPr>
          <w:rFonts w:ascii="Arial" w:hAnsi="Arial" w:cs="Arial"/>
          <w:color w:val="000000"/>
          <w:sz w:val="20"/>
          <w:szCs w:val="20"/>
        </w:rPr>
      </w:pPr>
    </w:p>
    <w:p w:rsidR="007E2B77" w:rsidRPr="00470480" w:rsidRDefault="007E2B77" w:rsidP="007E2B77">
      <w:pPr>
        <w:pStyle w:val="NormalWeb"/>
        <w:rPr>
          <w:rFonts w:ascii="Arial" w:hAnsi="Arial" w:cs="Arial"/>
          <w:color w:val="000000"/>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Default="007E2B77">
      <w:r>
        <w:br w:type="page"/>
      </w:r>
    </w:p>
    <w:p w:rsidR="007E2B77" w:rsidRPr="00470480" w:rsidRDefault="007E2B77" w:rsidP="007E2B77">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Large Exposures Framework for Non-Banking Financial Company - Upper Layer (NBFC-UL)</w:t>
      </w:r>
    </w:p>
    <w:p w:rsidR="007E2B77" w:rsidRPr="00470480" w:rsidRDefault="007E2B77" w:rsidP="007E2B77">
      <w:pPr>
        <w:spacing w:after="0"/>
        <w:jc w:val="both"/>
        <w:rPr>
          <w:rFonts w:ascii="Arial" w:hAnsi="Arial" w:cs="Arial"/>
          <w:b/>
          <w:bCs/>
          <w:color w:val="000000"/>
          <w:sz w:val="20"/>
          <w:szCs w:val="20"/>
        </w:rPr>
      </w:pP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RBI/2022-23/32</w:t>
      </w:r>
      <w:r w:rsidRPr="00470480">
        <w:rPr>
          <w:rFonts w:ascii="Arial" w:hAnsi="Arial" w:cs="Arial"/>
          <w:color w:val="000000"/>
          <w:sz w:val="20"/>
          <w:szCs w:val="20"/>
        </w:rPr>
        <w:br/>
        <w:t>DOR.CRE.REC.24/21.01.003/2022-23</w:t>
      </w:r>
    </w:p>
    <w:p w:rsidR="007E2B77" w:rsidRPr="00470480" w:rsidRDefault="007E2B77" w:rsidP="007E2B77">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All Non-Banking Financial Companies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7E2B77" w:rsidRPr="00470480" w:rsidRDefault="007E2B77" w:rsidP="007E2B77">
      <w:pPr>
        <w:pStyle w:val="head"/>
        <w:jc w:val="both"/>
        <w:rPr>
          <w:rFonts w:ascii="Arial" w:hAnsi="Arial" w:cs="Arial"/>
          <w:b/>
          <w:bCs/>
          <w:color w:val="000000"/>
          <w:sz w:val="20"/>
          <w:szCs w:val="20"/>
        </w:rPr>
      </w:pPr>
      <w:r w:rsidRPr="00470480">
        <w:rPr>
          <w:rFonts w:ascii="Arial" w:hAnsi="Arial" w:cs="Arial"/>
          <w:b/>
          <w:bCs/>
          <w:color w:val="000000"/>
          <w:sz w:val="20"/>
          <w:szCs w:val="20"/>
        </w:rPr>
        <w:t>Large Exposures Framework for Non-Banking Financial Company - Upper Layer (NBFC-UL)</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3.2.2 (d) of </w:t>
      </w:r>
      <w:hyperlink r:id="rId31" w:tgtFrame="_blank" w:history="1">
        <w:r w:rsidRPr="00470480">
          <w:rPr>
            <w:rStyle w:val="Hyperlink"/>
            <w:rFonts w:ascii="Arial" w:hAnsi="Arial" w:cs="Arial"/>
            <w:sz w:val="20"/>
            <w:szCs w:val="20"/>
          </w:rPr>
          <w:t>RBI circular DOR.CRE.REC.No.60/03.10.001/2021-22 dated October 22, 2021</w:t>
        </w:r>
      </w:hyperlink>
      <w:r w:rsidRPr="00470480">
        <w:rPr>
          <w:rFonts w:ascii="Arial" w:hAnsi="Arial" w:cs="Arial"/>
          <w:color w:val="000000"/>
          <w:sz w:val="20"/>
          <w:szCs w:val="20"/>
        </w:rPr>
        <w:t> on “Scale Based Regulation (SBR): A Revised Regulatory Framework for NBFCs”, in terms of which a Large Exposure Framework (LEF) is prescribed for NBFCs in the Upper Layer.</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2. Detailed guidelines in this regard are </w:t>
      </w:r>
      <w:hyperlink r:id="rId32" w:anchor="AN1" w:history="1">
        <w:r w:rsidRPr="00470480">
          <w:rPr>
            <w:rStyle w:val="Hyperlink"/>
            <w:rFonts w:ascii="Arial" w:hAnsi="Arial" w:cs="Arial"/>
            <w:sz w:val="20"/>
            <w:szCs w:val="20"/>
          </w:rPr>
          <w:t>annexed</w:t>
        </w:r>
      </w:hyperlink>
      <w:r w:rsidRPr="00470480">
        <w:rPr>
          <w:rFonts w:ascii="Arial" w:hAnsi="Arial" w:cs="Arial"/>
          <w:color w:val="000000"/>
          <w:sz w:val="20"/>
          <w:szCs w:val="20"/>
        </w:rPr>
        <w:t>.</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7E2B77" w:rsidRPr="00470480" w:rsidRDefault="007E2B77" w:rsidP="007E2B77">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7E2B77" w:rsidRPr="00470480" w:rsidRDefault="007E2B77" w:rsidP="007E2B77">
      <w:pPr>
        <w:spacing w:after="0"/>
        <w:jc w:val="both"/>
        <w:rPr>
          <w:rFonts w:ascii="Arial" w:hAnsi="Arial" w:cs="Arial"/>
          <w:sz w:val="20"/>
          <w:szCs w:val="20"/>
        </w:rPr>
      </w:pPr>
      <w:r w:rsidRPr="00470480">
        <w:rPr>
          <w:rFonts w:ascii="Arial" w:hAnsi="Arial" w:cs="Arial"/>
          <w:sz w:val="20"/>
          <w:szCs w:val="20"/>
        </w:rPr>
        <w:t xml:space="preserve">Reference Link: </w:t>
      </w:r>
      <w:hyperlink r:id="rId33" w:history="1">
        <w:r w:rsidRPr="00470480">
          <w:rPr>
            <w:rStyle w:val="Hyperlink"/>
            <w:rFonts w:ascii="Arial" w:hAnsi="Arial" w:cs="Arial"/>
            <w:sz w:val="20"/>
            <w:szCs w:val="20"/>
          </w:rPr>
          <w:t>https://www.rbi.org.in/Scripts/NotificationUser.aspx?Id=12298&amp;Mode=0</w:t>
        </w:r>
      </w:hyperlink>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Default="007E2B77">
      <w:r>
        <w:br w:type="page"/>
      </w:r>
    </w:p>
    <w:p w:rsidR="007E2B77" w:rsidRPr="00470480" w:rsidRDefault="007E2B77" w:rsidP="007E2B77">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Scale Based Regulation (SBR) for NBFCs: Capital requirements for Non-Banking Finance Companies – Upper Layer (NBFC-UL)</w:t>
      </w:r>
    </w:p>
    <w:p w:rsidR="007E2B77" w:rsidRPr="00470480" w:rsidRDefault="007E2B77" w:rsidP="007E2B77">
      <w:pPr>
        <w:spacing w:after="0"/>
        <w:jc w:val="both"/>
        <w:rPr>
          <w:rFonts w:ascii="Arial" w:hAnsi="Arial" w:cs="Arial"/>
          <w:b/>
          <w:bCs/>
          <w:color w:val="000000"/>
          <w:sz w:val="20"/>
          <w:szCs w:val="20"/>
        </w:rPr>
      </w:pP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RBI/2022-23/30</w:t>
      </w:r>
      <w:r w:rsidRPr="00470480">
        <w:rPr>
          <w:rFonts w:ascii="Arial" w:hAnsi="Arial" w:cs="Arial"/>
          <w:color w:val="000000"/>
          <w:sz w:val="20"/>
          <w:szCs w:val="20"/>
        </w:rPr>
        <w:br/>
        <w:t>DOR.CAP.REC.No.21/21.06.201/2022-23</w:t>
      </w:r>
    </w:p>
    <w:p w:rsidR="007E2B77" w:rsidRPr="00470480" w:rsidRDefault="007E2B77" w:rsidP="007E2B77">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7E2B77" w:rsidRPr="00470480" w:rsidRDefault="007E2B77" w:rsidP="007E2B77">
      <w:pPr>
        <w:pStyle w:val="head"/>
        <w:jc w:val="both"/>
        <w:rPr>
          <w:rFonts w:ascii="Arial" w:hAnsi="Arial" w:cs="Arial"/>
          <w:b/>
          <w:bCs/>
          <w:color w:val="000000"/>
          <w:sz w:val="20"/>
          <w:szCs w:val="20"/>
        </w:rPr>
      </w:pPr>
      <w:r w:rsidRPr="00470480">
        <w:rPr>
          <w:rFonts w:ascii="Arial" w:hAnsi="Arial" w:cs="Arial"/>
          <w:b/>
          <w:bCs/>
          <w:color w:val="000000"/>
          <w:sz w:val="20"/>
          <w:szCs w:val="20"/>
        </w:rPr>
        <w:t>Scale Based Regulation (SBR) for NBFCs: Capital requirements for Non-Banking Finance Companies – Upper Layer (NBFC-UL)</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34" w:tgtFrame="_blank" w:history="1">
        <w:r w:rsidRPr="00470480">
          <w:rPr>
            <w:rStyle w:val="Hyperlink"/>
            <w:rFonts w:ascii="Arial" w:hAnsi="Arial" w:cs="Arial"/>
            <w:sz w:val="20"/>
            <w:szCs w:val="20"/>
          </w:rPr>
          <w:t>circular DOR.CRE.REC.No.60/03.10.001/2021-22 dated October 22, 2021</w:t>
        </w:r>
      </w:hyperlink>
      <w:r w:rsidRPr="00470480">
        <w:rPr>
          <w:rFonts w:ascii="Arial" w:hAnsi="Arial" w:cs="Arial"/>
          <w:color w:val="000000"/>
          <w:sz w:val="20"/>
          <w:szCs w:val="20"/>
        </w:rPr>
        <w:t> on Scale Based Regulation (SBR): A Revised Regulatory Framework for NBFCs.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2. In terms of paragraph 3.2.1 (b) of the circular ibid, NBFC-UL shall maintain Common Equity Tier 1 capital of at least 9 per cent of Risk Weighted Assets. The detailed guidelines in this regard are provided below:</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3.1. NBFC-UL shall maintain, on an on-going basis, Common Equity Tier 1 (CET1) ratio of at least 9 per cent, where,</w:t>
      </w:r>
    </w:p>
    <w:p w:rsidR="007E2B77" w:rsidRPr="00470480" w:rsidRDefault="007E2B77" w:rsidP="007E2B77">
      <w:pPr>
        <w:jc w:val="center"/>
        <w:rPr>
          <w:rFonts w:ascii="Arial" w:hAnsi="Arial" w:cs="Arial"/>
          <w:color w:val="000000"/>
          <w:sz w:val="20"/>
          <w:szCs w:val="20"/>
        </w:rPr>
      </w:pPr>
      <w:r w:rsidRPr="00470480">
        <w:rPr>
          <w:rFonts w:ascii="Arial" w:hAnsi="Arial" w:cs="Arial"/>
          <w:noProof/>
          <w:color w:val="000000"/>
          <w:sz w:val="20"/>
          <w:szCs w:val="20"/>
          <w:lang w:eastAsia="en-IN"/>
        </w:rPr>
        <w:drawing>
          <wp:inline distT="0" distB="0" distL="0" distR="0" wp14:anchorId="5C959284" wp14:editId="7122BED3">
            <wp:extent cx="5048250" cy="542925"/>
            <wp:effectExtent l="0" t="0" r="0" b="9525"/>
            <wp:docPr id="1" name="Picture 1" descr="Common Equity Tier 1 (CET1) r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mmon Equity Tier 1 (CET1) ratio"/>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048250" cy="542925"/>
                    </a:xfrm>
                    <a:prstGeom prst="rect">
                      <a:avLst/>
                    </a:prstGeom>
                    <a:noFill/>
                    <a:ln>
                      <a:noFill/>
                    </a:ln>
                  </pic:spPr>
                </pic:pic>
              </a:graphicData>
            </a:graphic>
          </wp:inline>
        </w:drawing>
      </w:r>
    </w:p>
    <w:p w:rsidR="007E2B77" w:rsidRDefault="007E2B77" w:rsidP="007E2B77">
      <w:pPr>
        <w:spacing w:after="0"/>
        <w:jc w:val="both"/>
        <w:rPr>
          <w:rFonts w:ascii="Arial" w:hAnsi="Arial" w:cs="Arial"/>
          <w:sz w:val="20"/>
          <w:szCs w:val="20"/>
        </w:rPr>
      </w:pPr>
    </w:p>
    <w:p w:rsidR="007E2B77" w:rsidRDefault="007E2B77" w:rsidP="007E2B77">
      <w:pPr>
        <w:spacing w:after="0"/>
        <w:jc w:val="both"/>
        <w:rPr>
          <w:rFonts w:ascii="Arial" w:hAnsi="Arial" w:cs="Arial"/>
          <w:sz w:val="20"/>
          <w:szCs w:val="20"/>
        </w:rPr>
      </w:pPr>
      <w:r>
        <w:rPr>
          <w:rFonts w:ascii="Arial" w:hAnsi="Arial" w:cs="Arial"/>
          <w:sz w:val="20"/>
          <w:szCs w:val="20"/>
        </w:rPr>
        <w:t xml:space="preserve">For more details, </w:t>
      </w:r>
      <w:r>
        <w:t>the link to the notification is placed below.</w:t>
      </w:r>
    </w:p>
    <w:p w:rsidR="007E2B77" w:rsidRPr="00470480" w:rsidRDefault="007E2B77" w:rsidP="007E2B77">
      <w:pPr>
        <w:spacing w:after="0"/>
        <w:jc w:val="both"/>
        <w:rPr>
          <w:rFonts w:ascii="Arial" w:hAnsi="Arial" w:cs="Arial"/>
          <w:sz w:val="20"/>
          <w:szCs w:val="20"/>
        </w:rPr>
      </w:pPr>
      <w:r w:rsidRPr="00470480">
        <w:rPr>
          <w:rFonts w:ascii="Arial" w:hAnsi="Arial" w:cs="Arial"/>
          <w:sz w:val="20"/>
          <w:szCs w:val="20"/>
        </w:rPr>
        <w:t xml:space="preserve">Reference Link: </w:t>
      </w:r>
      <w:hyperlink r:id="rId36" w:history="1">
        <w:r w:rsidRPr="00470480">
          <w:rPr>
            <w:rStyle w:val="Hyperlink"/>
            <w:rFonts w:ascii="Arial" w:hAnsi="Arial" w:cs="Arial"/>
            <w:sz w:val="20"/>
            <w:szCs w:val="20"/>
          </w:rPr>
          <w:t>https://www.rbi.org.in/Scripts/NotificationUser.aspx?Id=12296&amp;Mode=0</w:t>
        </w:r>
      </w:hyperlink>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Default="007E2B77" w:rsidP="007E2B77">
      <w:pPr>
        <w:spacing w:after="0"/>
        <w:jc w:val="both"/>
        <w:rPr>
          <w:rFonts w:ascii="Arial" w:hAnsi="Arial" w:cs="Arial"/>
          <w:b/>
          <w:bCs/>
          <w:color w:val="000000"/>
          <w:sz w:val="20"/>
          <w:szCs w:val="20"/>
        </w:rPr>
      </w:pPr>
    </w:p>
    <w:p w:rsidR="007E2B77" w:rsidRDefault="007E2B77" w:rsidP="007E2B77">
      <w:pPr>
        <w:spacing w:after="0"/>
        <w:jc w:val="both"/>
        <w:rPr>
          <w:rFonts w:ascii="Arial" w:hAnsi="Arial" w:cs="Arial"/>
          <w:b/>
          <w:bCs/>
          <w:color w:val="000000"/>
          <w:sz w:val="20"/>
          <w:szCs w:val="20"/>
        </w:rPr>
      </w:pPr>
    </w:p>
    <w:p w:rsidR="007E2B77" w:rsidRDefault="007E2B77" w:rsidP="007E2B77">
      <w:pPr>
        <w:spacing w:after="0"/>
        <w:jc w:val="both"/>
        <w:rPr>
          <w:rFonts w:ascii="Arial" w:hAnsi="Arial" w:cs="Arial"/>
          <w:b/>
          <w:bCs/>
          <w:color w:val="000000"/>
          <w:sz w:val="20"/>
          <w:szCs w:val="20"/>
        </w:rPr>
      </w:pPr>
    </w:p>
    <w:p w:rsidR="007E2B77" w:rsidRDefault="007E2B77" w:rsidP="007E2B77">
      <w:pPr>
        <w:spacing w:after="0"/>
        <w:jc w:val="both"/>
        <w:rPr>
          <w:rFonts w:ascii="Arial" w:hAnsi="Arial" w:cs="Arial"/>
          <w:b/>
          <w:bCs/>
          <w:color w:val="000000"/>
          <w:sz w:val="20"/>
          <w:szCs w:val="20"/>
        </w:rPr>
      </w:pPr>
    </w:p>
    <w:p w:rsidR="007E2B77" w:rsidRDefault="007E2B77" w:rsidP="007E2B77">
      <w:pPr>
        <w:spacing w:after="0"/>
        <w:jc w:val="both"/>
        <w:rPr>
          <w:rFonts w:ascii="Arial" w:hAnsi="Arial" w:cs="Arial"/>
          <w:b/>
          <w:bCs/>
          <w:color w:val="000000"/>
          <w:sz w:val="20"/>
          <w:szCs w:val="20"/>
        </w:rPr>
      </w:pPr>
    </w:p>
    <w:p w:rsidR="007E2B77" w:rsidRDefault="007E2B77" w:rsidP="007E2B77">
      <w:pPr>
        <w:spacing w:after="0"/>
        <w:jc w:val="both"/>
        <w:rPr>
          <w:rFonts w:ascii="Arial" w:hAnsi="Arial" w:cs="Arial"/>
          <w:b/>
          <w:bCs/>
          <w:color w:val="000000"/>
          <w:sz w:val="20"/>
          <w:szCs w:val="20"/>
        </w:rPr>
      </w:pPr>
    </w:p>
    <w:p w:rsidR="007E2B77" w:rsidRDefault="007E2B77" w:rsidP="007E2B77">
      <w:pPr>
        <w:spacing w:after="0"/>
        <w:jc w:val="both"/>
        <w:rPr>
          <w:rFonts w:ascii="Arial" w:hAnsi="Arial" w:cs="Arial"/>
          <w:b/>
          <w:bCs/>
          <w:color w:val="000000"/>
          <w:sz w:val="20"/>
          <w:szCs w:val="20"/>
        </w:rPr>
      </w:pPr>
    </w:p>
    <w:p w:rsidR="007E2B77" w:rsidRDefault="007E2B77" w:rsidP="007E2B77">
      <w:pPr>
        <w:spacing w:after="0"/>
        <w:jc w:val="both"/>
        <w:rPr>
          <w:rFonts w:ascii="Arial" w:hAnsi="Arial" w:cs="Arial"/>
          <w:b/>
          <w:bCs/>
          <w:color w:val="000000"/>
          <w:sz w:val="20"/>
          <w:szCs w:val="20"/>
        </w:rPr>
      </w:pPr>
    </w:p>
    <w:p w:rsidR="007E2B77" w:rsidRDefault="007E2B77">
      <w:r>
        <w:br w:type="page"/>
      </w:r>
    </w:p>
    <w:p w:rsidR="007E2B77" w:rsidRPr="00470480" w:rsidRDefault="007E2B77" w:rsidP="007E2B77">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Loans and Advances – Regulatory Restrictions – NBFCs</w:t>
      </w:r>
    </w:p>
    <w:p w:rsidR="007E2B77" w:rsidRPr="00470480" w:rsidRDefault="007E2B77" w:rsidP="007E2B77">
      <w:pPr>
        <w:spacing w:after="0"/>
        <w:jc w:val="both"/>
        <w:rPr>
          <w:rFonts w:ascii="Arial" w:hAnsi="Arial" w:cs="Arial"/>
          <w:b/>
          <w:bCs/>
          <w:color w:val="000000"/>
          <w:sz w:val="20"/>
          <w:szCs w:val="20"/>
        </w:rPr>
      </w:pP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RBI/2022-23/29</w:t>
      </w:r>
      <w:r w:rsidRPr="00470480">
        <w:rPr>
          <w:rFonts w:ascii="Arial" w:hAnsi="Arial" w:cs="Arial"/>
          <w:color w:val="000000"/>
          <w:sz w:val="20"/>
          <w:szCs w:val="20"/>
        </w:rPr>
        <w:br/>
        <w:t>DOR.CRE.REC.No.25/03.10.001/2022-23</w:t>
      </w:r>
    </w:p>
    <w:p w:rsidR="007E2B77" w:rsidRPr="00470480" w:rsidRDefault="007E2B77" w:rsidP="007E2B77">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All Non-Banking Financial Companies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Madam/ Dear Sir,</w:t>
      </w:r>
    </w:p>
    <w:p w:rsidR="007E2B77" w:rsidRPr="00470480" w:rsidRDefault="007E2B77" w:rsidP="007E2B77">
      <w:pPr>
        <w:pStyle w:val="head"/>
        <w:jc w:val="both"/>
        <w:rPr>
          <w:rFonts w:ascii="Arial" w:hAnsi="Arial" w:cs="Arial"/>
          <w:b/>
          <w:bCs/>
          <w:color w:val="000000"/>
          <w:sz w:val="20"/>
          <w:szCs w:val="20"/>
        </w:rPr>
      </w:pPr>
      <w:r w:rsidRPr="00470480">
        <w:rPr>
          <w:rFonts w:ascii="Arial" w:hAnsi="Arial" w:cs="Arial"/>
          <w:b/>
          <w:bCs/>
          <w:color w:val="000000"/>
          <w:sz w:val="20"/>
          <w:szCs w:val="20"/>
        </w:rPr>
        <w:t>Loans and Advances – Regulatory Restrictions - NBFCs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In terms of para 3.2.2 (c) and para 3.2.3 (b) &amp; (c) of the </w:t>
      </w:r>
      <w:hyperlink r:id="rId37" w:tgtFrame="_blank" w:history="1">
        <w:r w:rsidRPr="00470480">
          <w:rPr>
            <w:rStyle w:val="Hyperlink"/>
            <w:rFonts w:ascii="Arial" w:hAnsi="Arial" w:cs="Arial"/>
            <w:sz w:val="20"/>
            <w:szCs w:val="20"/>
          </w:rPr>
          <w:t>circular on Scale Based Regulation (SBR): A Revised Regulatory Framework for NBFCs issued on October 22, 2021</w:t>
        </w:r>
      </w:hyperlink>
      <w:r w:rsidRPr="00470480">
        <w:rPr>
          <w:rFonts w:ascii="Arial" w:hAnsi="Arial" w:cs="Arial"/>
          <w:color w:val="000000"/>
          <w:sz w:val="20"/>
          <w:szCs w:val="20"/>
        </w:rPr>
        <w:t>, certain regulatory restrictions on lending were introduced in respect of NBFCs placed in different layers. Detailed guidelines in this regard are placed as </w:t>
      </w:r>
      <w:hyperlink r:id="rId38" w:anchor="AN" w:history="1">
        <w:r w:rsidRPr="00470480">
          <w:rPr>
            <w:rStyle w:val="Hyperlink"/>
            <w:rFonts w:ascii="Arial" w:hAnsi="Arial" w:cs="Arial"/>
            <w:sz w:val="20"/>
            <w:szCs w:val="20"/>
          </w:rPr>
          <w:t>Annex</w:t>
        </w:r>
      </w:hyperlink>
      <w:r w:rsidRPr="00470480">
        <w:rPr>
          <w:rFonts w:ascii="Arial" w:hAnsi="Arial" w:cs="Arial"/>
          <w:color w:val="000000"/>
          <w:sz w:val="20"/>
          <w:szCs w:val="20"/>
        </w:rPr>
        <w:t> to this circular.</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2. These guidelines shall be effective from October 01, 2022.</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7E2B77" w:rsidRPr="00470480" w:rsidRDefault="007E2B77" w:rsidP="007E2B77">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7E2B77" w:rsidRDefault="007E2B77" w:rsidP="007E2B77">
      <w:pPr>
        <w:spacing w:after="0"/>
        <w:jc w:val="both"/>
        <w:rPr>
          <w:rFonts w:ascii="Arial" w:hAnsi="Arial" w:cs="Arial"/>
          <w:sz w:val="20"/>
          <w:szCs w:val="20"/>
        </w:rPr>
      </w:pPr>
    </w:p>
    <w:p w:rsidR="007E2B77"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r w:rsidRPr="00470480">
        <w:rPr>
          <w:rFonts w:ascii="Arial" w:hAnsi="Arial" w:cs="Arial"/>
          <w:sz w:val="20"/>
          <w:szCs w:val="20"/>
        </w:rPr>
        <w:t xml:space="preserve">Reference Link: </w:t>
      </w:r>
      <w:hyperlink r:id="rId39" w:history="1">
        <w:r w:rsidRPr="00470480">
          <w:rPr>
            <w:rStyle w:val="Hyperlink"/>
            <w:rFonts w:ascii="Arial" w:hAnsi="Arial" w:cs="Arial"/>
            <w:sz w:val="20"/>
            <w:szCs w:val="20"/>
          </w:rPr>
          <w:t>https://www.rbi.org.in/Scripts/NotificationUser.aspx?Id=12294&amp;Mode=0</w:t>
        </w:r>
      </w:hyperlink>
    </w:p>
    <w:p w:rsidR="007E2B77" w:rsidRPr="00470480" w:rsidRDefault="007E2B77" w:rsidP="007E2B77">
      <w:pPr>
        <w:spacing w:after="0"/>
        <w:jc w:val="both"/>
        <w:rPr>
          <w:rFonts w:ascii="Arial" w:hAnsi="Arial" w:cs="Arial"/>
          <w:sz w:val="20"/>
          <w:szCs w:val="20"/>
        </w:rPr>
      </w:pPr>
      <w:r w:rsidRPr="00470480">
        <w:rPr>
          <w:rFonts w:ascii="Arial" w:hAnsi="Arial" w:cs="Arial"/>
          <w:sz w:val="20"/>
          <w:szCs w:val="20"/>
        </w:rPr>
        <w:tab/>
      </w: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Default="007E2B77">
      <w:r>
        <w:br w:type="page"/>
      </w:r>
    </w:p>
    <w:p w:rsidR="007E2B77" w:rsidRDefault="007E2B77" w:rsidP="007E2B77">
      <w:pPr>
        <w:spacing w:after="0"/>
        <w:jc w:val="both"/>
        <w:rPr>
          <w:rFonts w:ascii="Arial" w:hAnsi="Arial" w:cs="Arial"/>
          <w:b/>
          <w:bCs/>
          <w:color w:val="000000"/>
          <w:sz w:val="20"/>
          <w:szCs w:val="20"/>
        </w:rPr>
      </w:pPr>
    </w:p>
    <w:p w:rsidR="007E2B77" w:rsidRPr="00470480" w:rsidRDefault="007E2B77" w:rsidP="007E2B77">
      <w:pPr>
        <w:spacing w:after="0"/>
        <w:jc w:val="both"/>
        <w:rPr>
          <w:rFonts w:ascii="Arial" w:hAnsi="Arial" w:cs="Arial"/>
          <w:b/>
          <w:bCs/>
          <w:color w:val="000000"/>
          <w:sz w:val="20"/>
          <w:szCs w:val="20"/>
        </w:rPr>
      </w:pPr>
      <w:r w:rsidRPr="00470480">
        <w:rPr>
          <w:rFonts w:ascii="Arial" w:hAnsi="Arial" w:cs="Arial"/>
          <w:b/>
          <w:bCs/>
          <w:color w:val="000000"/>
          <w:sz w:val="20"/>
          <w:szCs w:val="20"/>
        </w:rPr>
        <w:t>Disclosures in Financial Statements- Notes to Accounts of NBFCs</w:t>
      </w:r>
    </w:p>
    <w:p w:rsidR="007E2B77" w:rsidRPr="00470480" w:rsidRDefault="007E2B77" w:rsidP="007E2B77">
      <w:pPr>
        <w:spacing w:after="0"/>
        <w:jc w:val="both"/>
        <w:rPr>
          <w:rFonts w:ascii="Arial" w:hAnsi="Arial" w:cs="Arial"/>
          <w:b/>
          <w:bCs/>
          <w:color w:val="000000"/>
          <w:sz w:val="20"/>
          <w:szCs w:val="20"/>
        </w:rPr>
      </w:pP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RBI/2022-23/26</w:t>
      </w:r>
      <w:r w:rsidRPr="00470480">
        <w:rPr>
          <w:rFonts w:ascii="Arial" w:hAnsi="Arial" w:cs="Arial"/>
          <w:color w:val="000000"/>
          <w:sz w:val="20"/>
          <w:szCs w:val="20"/>
        </w:rPr>
        <w:br/>
        <w:t>DOR.ACC.REC.No.20/21.04.018/2022-23</w:t>
      </w:r>
    </w:p>
    <w:p w:rsidR="007E2B77" w:rsidRPr="00470480" w:rsidRDefault="007E2B77" w:rsidP="007E2B77">
      <w:pPr>
        <w:pStyle w:val="NormalWeb"/>
        <w:jc w:val="right"/>
        <w:rPr>
          <w:rFonts w:ascii="Arial" w:hAnsi="Arial" w:cs="Arial"/>
          <w:color w:val="000000"/>
          <w:sz w:val="20"/>
          <w:szCs w:val="20"/>
        </w:rPr>
      </w:pPr>
      <w:r w:rsidRPr="00470480">
        <w:rPr>
          <w:rFonts w:ascii="Arial" w:hAnsi="Arial" w:cs="Arial"/>
          <w:color w:val="000000"/>
          <w:sz w:val="20"/>
          <w:szCs w:val="20"/>
        </w:rPr>
        <w:t>April 19, 2022</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7E2B77" w:rsidRPr="00470480" w:rsidRDefault="007E2B77" w:rsidP="007E2B77">
      <w:pPr>
        <w:pStyle w:val="head"/>
        <w:jc w:val="center"/>
        <w:rPr>
          <w:rFonts w:ascii="Arial" w:hAnsi="Arial" w:cs="Arial"/>
          <w:b/>
          <w:bCs/>
          <w:color w:val="000000"/>
          <w:sz w:val="20"/>
          <w:szCs w:val="20"/>
        </w:rPr>
      </w:pPr>
      <w:r w:rsidRPr="00470480">
        <w:rPr>
          <w:rFonts w:ascii="Arial" w:hAnsi="Arial" w:cs="Arial"/>
          <w:b/>
          <w:bCs/>
          <w:color w:val="000000"/>
          <w:sz w:val="20"/>
          <w:szCs w:val="20"/>
        </w:rPr>
        <w:t>Disclosures in Financial Statements- Notes to Accounts of NBFCs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40" w:tgtFrame="_blank" w:history="1">
        <w:r w:rsidRPr="00470480">
          <w:rPr>
            <w:rStyle w:val="Hyperlink"/>
            <w:rFonts w:ascii="Arial" w:hAnsi="Arial" w:cs="Arial"/>
            <w:sz w:val="20"/>
            <w:szCs w:val="20"/>
          </w:rPr>
          <w:t>circular DOR.CRE.REC.No.60/03.10.001/2021-22 dated October 22, 2021</w:t>
        </w:r>
      </w:hyperlink>
      <w:r w:rsidRPr="00470480">
        <w:rPr>
          <w:rFonts w:ascii="Arial" w:hAnsi="Arial" w:cs="Arial"/>
          <w:color w:val="000000"/>
          <w:sz w:val="20"/>
          <w:szCs w:val="20"/>
        </w:rPr>
        <w:t> on ‘Scale Based Regulation (SBR): A Revised Regulatory Framework’ for NBFCs, which inter-alia envisages certain specific disclosures.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2. Non-Banking Finance Companies (NBFCs) are required to make disclosures in their financial statements in accordance with existing prudential guidelines, applicable accounting standards, laws, and regulations. The additional disclosure requirements for NBFCs in accordance with the SBR framework are outlined in the </w:t>
      </w:r>
      <w:hyperlink r:id="rId41" w:tgtFrame="_blank" w:history="1">
        <w:r w:rsidRPr="00470480">
          <w:rPr>
            <w:rStyle w:val="Hyperlink"/>
            <w:rFonts w:ascii="Arial" w:hAnsi="Arial" w:cs="Arial"/>
            <w:sz w:val="20"/>
            <w:szCs w:val="20"/>
          </w:rPr>
          <w:t>Annex</w:t>
        </w:r>
      </w:hyperlink>
      <w:r w:rsidRPr="00470480">
        <w:rPr>
          <w:rFonts w:ascii="Arial" w:hAnsi="Arial" w:cs="Arial"/>
          <w:color w:val="000000"/>
          <w:sz w:val="20"/>
          <w:szCs w:val="20"/>
        </w:rPr>
        <w:t>.</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3. These disclosures are in addition to and not in substitution of the disclosure requirements specified under other laws, regulations, or accounting and financial reporting standards. More comprehensive disclosures than the minimum required are encouraged, especially if such disclosures significantly aid in the understanding of the financial position and performance.</w:t>
      </w:r>
    </w:p>
    <w:p w:rsidR="007E2B77" w:rsidRPr="00470480" w:rsidRDefault="007E2B77" w:rsidP="007E2B77">
      <w:pPr>
        <w:pStyle w:val="head"/>
        <w:jc w:val="both"/>
        <w:rPr>
          <w:rFonts w:ascii="Arial" w:hAnsi="Arial" w:cs="Arial"/>
          <w:b/>
          <w:bCs/>
          <w:color w:val="000000"/>
          <w:sz w:val="20"/>
          <w:szCs w:val="20"/>
        </w:rPr>
      </w:pPr>
      <w:r w:rsidRPr="00470480">
        <w:rPr>
          <w:rFonts w:ascii="Arial" w:hAnsi="Arial" w:cs="Arial"/>
          <w:b/>
          <w:bCs/>
          <w:color w:val="000000"/>
          <w:sz w:val="20"/>
          <w:szCs w:val="20"/>
        </w:rPr>
        <w:t>Applicability</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4. This circular is applicable to all NBFCs. The Annex specifies the applicability of specific disclosure requirements to specific NBFC layers as per Scale Based Regulation. It may be noted that disclosure requirements applicable to lower layers of NBFCs will be applicable to NBFCs in higher layers. These guidelines shall be effective for annual financial statements for year ending March 31, 2023, and onwards.</w:t>
      </w:r>
    </w:p>
    <w:p w:rsidR="007E2B77" w:rsidRPr="00470480" w:rsidRDefault="007E2B77" w:rsidP="007E2B77">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Usha</w:t>
      </w:r>
      <w:proofErr w:type="spellEnd"/>
      <w:r w:rsidRPr="00470480">
        <w:rPr>
          <w:rFonts w:ascii="Arial" w:hAnsi="Arial" w:cs="Arial"/>
          <w:color w:val="000000"/>
          <w:sz w:val="20"/>
          <w:szCs w:val="20"/>
        </w:rPr>
        <w:t xml:space="preserve"> </w:t>
      </w:r>
      <w:proofErr w:type="spellStart"/>
      <w:r w:rsidRPr="00470480">
        <w:rPr>
          <w:rFonts w:ascii="Arial" w:hAnsi="Arial" w:cs="Arial"/>
          <w:color w:val="000000"/>
          <w:sz w:val="20"/>
          <w:szCs w:val="20"/>
        </w:rPr>
        <w:t>Janakiraman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r w:rsidRPr="00470480">
        <w:rPr>
          <w:rFonts w:ascii="Arial" w:hAnsi="Arial" w:cs="Arial"/>
          <w:sz w:val="20"/>
          <w:szCs w:val="20"/>
        </w:rPr>
        <w:t xml:space="preserve">Reference Links: </w:t>
      </w:r>
      <w:hyperlink r:id="rId42" w:history="1">
        <w:r w:rsidRPr="00470480">
          <w:rPr>
            <w:rStyle w:val="Hyperlink"/>
            <w:rFonts w:ascii="Arial" w:hAnsi="Arial" w:cs="Arial"/>
            <w:sz w:val="20"/>
            <w:szCs w:val="20"/>
          </w:rPr>
          <w:t>https://www.rbi.org.in/Scripts/NotificationUser.aspx?Id=12292&amp;Mode=0</w:t>
        </w:r>
      </w:hyperlink>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Default="007E2B77" w:rsidP="007E2B77">
      <w:pPr>
        <w:spacing w:after="0"/>
        <w:jc w:val="both"/>
        <w:rPr>
          <w:rFonts w:ascii="Arial" w:hAnsi="Arial" w:cs="Arial"/>
          <w:b/>
          <w:bCs/>
          <w:color w:val="000000"/>
          <w:sz w:val="20"/>
          <w:szCs w:val="20"/>
        </w:rPr>
      </w:pPr>
    </w:p>
    <w:p w:rsidR="007E2B77" w:rsidRDefault="007E2B77" w:rsidP="007E2B77">
      <w:pPr>
        <w:spacing w:after="0"/>
        <w:jc w:val="both"/>
        <w:rPr>
          <w:rFonts w:ascii="Arial" w:hAnsi="Arial" w:cs="Arial"/>
          <w:b/>
          <w:bCs/>
          <w:color w:val="000000"/>
          <w:sz w:val="20"/>
          <w:szCs w:val="20"/>
        </w:rPr>
      </w:pPr>
    </w:p>
    <w:p w:rsidR="007E2B77" w:rsidRDefault="007E2B77" w:rsidP="007E2B77">
      <w:pPr>
        <w:spacing w:after="0"/>
        <w:jc w:val="both"/>
        <w:rPr>
          <w:rFonts w:ascii="Arial" w:hAnsi="Arial" w:cs="Arial"/>
          <w:b/>
          <w:bCs/>
          <w:color w:val="000000"/>
          <w:sz w:val="20"/>
          <w:szCs w:val="20"/>
        </w:rPr>
      </w:pPr>
    </w:p>
    <w:p w:rsidR="007E2B77" w:rsidRDefault="007E2B77">
      <w:r>
        <w:br w:type="page"/>
      </w:r>
    </w:p>
    <w:p w:rsidR="007E2B77" w:rsidRPr="00470480" w:rsidRDefault="007E2B77" w:rsidP="007E2B77">
      <w:pPr>
        <w:pStyle w:val="NormalWeb"/>
        <w:rPr>
          <w:rFonts w:ascii="Arial" w:hAnsi="Arial" w:cs="Arial"/>
          <w:b/>
          <w:bCs/>
          <w:color w:val="000000"/>
          <w:sz w:val="20"/>
          <w:szCs w:val="20"/>
        </w:rPr>
      </w:pPr>
      <w:r w:rsidRPr="00470480">
        <w:rPr>
          <w:rFonts w:ascii="Arial" w:hAnsi="Arial" w:cs="Arial"/>
          <w:b/>
          <w:bCs/>
          <w:color w:val="000000"/>
          <w:sz w:val="20"/>
          <w:szCs w:val="20"/>
        </w:rPr>
        <w:lastRenderedPageBreak/>
        <w:t>Compliance Function and Role of Chief Compliance Officer (CCO) – NBFCs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RBI/2022-23/24</w:t>
      </w:r>
      <w:r w:rsidRPr="00470480">
        <w:rPr>
          <w:rFonts w:ascii="Arial" w:hAnsi="Arial" w:cs="Arial"/>
          <w:color w:val="000000"/>
          <w:sz w:val="20"/>
          <w:szCs w:val="20"/>
        </w:rPr>
        <w:br/>
      </w:r>
      <w:proofErr w:type="spellStart"/>
      <w:r w:rsidRPr="00470480">
        <w:rPr>
          <w:rFonts w:ascii="Arial" w:hAnsi="Arial" w:cs="Arial"/>
          <w:color w:val="000000"/>
          <w:sz w:val="20"/>
          <w:szCs w:val="20"/>
        </w:rPr>
        <w:t>Ref.No.DoS.CO.PPG</w:t>
      </w:r>
      <w:proofErr w:type="spellEnd"/>
      <w:r w:rsidRPr="00470480">
        <w:rPr>
          <w:rFonts w:ascii="Arial" w:hAnsi="Arial" w:cs="Arial"/>
          <w:color w:val="000000"/>
          <w:sz w:val="20"/>
          <w:szCs w:val="20"/>
        </w:rPr>
        <w:t>./SEC.01/11.01.005/2022-23</w:t>
      </w:r>
    </w:p>
    <w:p w:rsidR="007E2B77" w:rsidRPr="00470480" w:rsidRDefault="007E2B77" w:rsidP="007E2B77">
      <w:pPr>
        <w:pStyle w:val="NormalWeb"/>
        <w:jc w:val="right"/>
        <w:rPr>
          <w:rFonts w:ascii="Arial" w:hAnsi="Arial" w:cs="Arial"/>
          <w:color w:val="000000"/>
          <w:sz w:val="20"/>
          <w:szCs w:val="20"/>
        </w:rPr>
      </w:pPr>
      <w:r w:rsidRPr="00470480">
        <w:rPr>
          <w:rFonts w:ascii="Arial" w:hAnsi="Arial" w:cs="Arial"/>
          <w:color w:val="000000"/>
          <w:sz w:val="20"/>
          <w:szCs w:val="20"/>
        </w:rPr>
        <w:t>April 11, 2022</w:t>
      </w:r>
    </w:p>
    <w:p w:rsidR="007E2B77" w:rsidRPr="00470480" w:rsidRDefault="007E2B77" w:rsidP="007E2B77">
      <w:pPr>
        <w:pStyle w:val="NormalWeb"/>
        <w:rPr>
          <w:rFonts w:ascii="Arial" w:hAnsi="Arial" w:cs="Arial"/>
          <w:color w:val="000000"/>
          <w:sz w:val="20"/>
          <w:szCs w:val="20"/>
        </w:rPr>
      </w:pPr>
      <w:r w:rsidRPr="00470480">
        <w:rPr>
          <w:rFonts w:ascii="Arial" w:hAnsi="Arial" w:cs="Arial"/>
          <w:color w:val="000000"/>
          <w:sz w:val="20"/>
          <w:szCs w:val="20"/>
        </w:rPr>
        <w:t>The Chairman / Managing Director / Chief Executive Officer</w:t>
      </w:r>
      <w:r w:rsidRPr="00470480">
        <w:rPr>
          <w:rFonts w:ascii="Arial" w:hAnsi="Arial" w:cs="Arial"/>
          <w:color w:val="000000"/>
          <w:sz w:val="20"/>
          <w:szCs w:val="20"/>
        </w:rPr>
        <w:br/>
        <w:t>All Non-Banking Financial Companies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7E2B77" w:rsidRPr="00470480" w:rsidRDefault="007E2B77" w:rsidP="007E2B77">
      <w:pPr>
        <w:pStyle w:val="head"/>
        <w:jc w:val="center"/>
        <w:rPr>
          <w:rFonts w:ascii="Arial" w:hAnsi="Arial" w:cs="Arial"/>
          <w:b/>
          <w:bCs/>
          <w:color w:val="000000"/>
          <w:sz w:val="20"/>
          <w:szCs w:val="20"/>
        </w:rPr>
      </w:pPr>
      <w:r w:rsidRPr="00470480">
        <w:rPr>
          <w:rFonts w:ascii="Arial" w:hAnsi="Arial" w:cs="Arial"/>
          <w:b/>
          <w:bCs/>
          <w:color w:val="000000"/>
          <w:sz w:val="20"/>
          <w:szCs w:val="20"/>
        </w:rPr>
        <w:t>Compliance Function and Role of Chief Compliance Officer (CCO) - NBFCs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Please refer to the Reserve Bank’s guidelines on ‘Scale Based Regulation (SBR): A Revised Regulatory Framework for NBFCs’ issued vide </w:t>
      </w:r>
      <w:hyperlink r:id="rId43" w:tgtFrame="_blank" w:history="1">
        <w:r w:rsidRPr="00470480">
          <w:rPr>
            <w:rStyle w:val="Hyperlink"/>
            <w:rFonts w:ascii="Arial" w:hAnsi="Arial" w:cs="Arial"/>
            <w:sz w:val="20"/>
            <w:szCs w:val="20"/>
          </w:rPr>
          <w:t xml:space="preserve">Circular </w:t>
        </w:r>
        <w:proofErr w:type="spellStart"/>
        <w:r w:rsidRPr="00470480">
          <w:rPr>
            <w:rStyle w:val="Hyperlink"/>
            <w:rFonts w:ascii="Arial" w:hAnsi="Arial" w:cs="Arial"/>
            <w:sz w:val="20"/>
            <w:szCs w:val="20"/>
          </w:rPr>
          <w:t>Ref.DOR.CRE</w:t>
        </w:r>
        <w:proofErr w:type="spellEnd"/>
        <w:r w:rsidRPr="00470480">
          <w:rPr>
            <w:rStyle w:val="Hyperlink"/>
            <w:rFonts w:ascii="Arial" w:hAnsi="Arial" w:cs="Arial"/>
            <w:sz w:val="20"/>
            <w:szCs w:val="20"/>
          </w:rPr>
          <w:t>. REC.No.60/03.10.001/2021-22 dated October 22, 2021</w:t>
        </w:r>
      </w:hyperlink>
      <w:hyperlink r:id="rId44" w:anchor="F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 As indicated therein, Non-Banking Financial Companies in the Upper Layer (NBFC-UL) and Middle Layer (NBFC-ML) would be required, inter alia, to have an independent Compliance Function and a Chief Compliance Officer (CCO). Accordingly, this Circular shall be applicable to all NBFC-UL and NBFC-ML. NBFCs in the Base Layer (NBFC-BL) shall continue to be governed under the existing guidelines</w:t>
      </w:r>
      <w:hyperlink r:id="rId45" w:anchor="F2" w:history="1">
        <w:r w:rsidRPr="00470480">
          <w:rPr>
            <w:rStyle w:val="Hyperlink"/>
            <w:rFonts w:ascii="Arial" w:hAnsi="Arial" w:cs="Arial"/>
            <w:sz w:val="20"/>
            <w:szCs w:val="20"/>
            <w:vertAlign w:val="superscript"/>
          </w:rPr>
          <w:t>2</w:t>
        </w:r>
      </w:hyperlink>
      <w:r w:rsidRPr="00470480">
        <w:rPr>
          <w:rFonts w:ascii="Arial" w:hAnsi="Arial" w:cs="Arial"/>
          <w:color w:val="000000"/>
          <w:sz w:val="20"/>
          <w:szCs w:val="20"/>
        </w:rPr>
        <w:t>.</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2. As part of the overall structure for Corporate Governance, Compliance Function serves a critical role. Accordingly, it has been decided to introduce certain principles, standards and procedures for Compliance Function in NBFC-UL and NBFC-ML, keeping in view the principles of proportionality.</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3. NBFC-UL and NBFC-ML shall put in place a Board approved policy and a Compliance Function, including the appointment of a Chief Compliance Officer (CCO), based on the Framework given in the </w:t>
      </w:r>
      <w:hyperlink r:id="rId46" w:anchor="AN1" w:history="1">
        <w:r w:rsidRPr="00470480">
          <w:rPr>
            <w:rStyle w:val="Hyperlink"/>
            <w:rFonts w:ascii="Arial" w:hAnsi="Arial" w:cs="Arial"/>
            <w:sz w:val="20"/>
            <w:szCs w:val="20"/>
          </w:rPr>
          <w:t>Annex</w:t>
        </w:r>
      </w:hyperlink>
      <w:r w:rsidRPr="00470480">
        <w:rPr>
          <w:rFonts w:ascii="Arial" w:hAnsi="Arial" w:cs="Arial"/>
          <w:color w:val="000000"/>
          <w:sz w:val="20"/>
          <w:szCs w:val="20"/>
        </w:rPr>
        <w:t>, latest by April 1, 2023 and October 1, 2023, respectively.</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4. This Circular shall be placed in the immediate next meeting of the Board of Directors for information and devising an implementation strategy, under the Board’s supervision, in a time-bound manner.</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7E2B77" w:rsidRPr="00470480" w:rsidRDefault="007E2B77" w:rsidP="007E2B77">
      <w:pPr>
        <w:pStyle w:val="NormalWeb"/>
        <w:rPr>
          <w:rFonts w:ascii="Arial" w:hAnsi="Arial" w:cs="Arial"/>
          <w:color w:val="000000"/>
          <w:sz w:val="20"/>
          <w:szCs w:val="20"/>
        </w:rPr>
      </w:pPr>
      <w:r w:rsidRPr="00470480">
        <w:rPr>
          <w:rFonts w:ascii="Arial" w:hAnsi="Arial" w:cs="Arial"/>
          <w:color w:val="000000"/>
          <w:sz w:val="20"/>
          <w:szCs w:val="20"/>
        </w:rPr>
        <w:t>(Arnab Kumar Chowdhury)</w:t>
      </w:r>
      <w:r w:rsidRPr="00470480">
        <w:rPr>
          <w:rFonts w:ascii="Arial" w:hAnsi="Arial" w:cs="Arial"/>
          <w:color w:val="000000"/>
          <w:sz w:val="20"/>
          <w:szCs w:val="20"/>
        </w:rPr>
        <w:br/>
        <w:t>Chief General Manager-In-Charge</w:t>
      </w:r>
    </w:p>
    <w:p w:rsidR="007E2B77" w:rsidRPr="00470480" w:rsidRDefault="007E2B77" w:rsidP="007E2B77">
      <w:pPr>
        <w:pStyle w:val="head"/>
        <w:jc w:val="both"/>
        <w:rPr>
          <w:rFonts w:ascii="Arial" w:hAnsi="Arial" w:cs="Arial"/>
          <w:b/>
          <w:bCs/>
          <w:color w:val="000000"/>
          <w:sz w:val="20"/>
          <w:szCs w:val="20"/>
        </w:rPr>
      </w:pPr>
      <w:r w:rsidRPr="00470480">
        <w:rPr>
          <w:rFonts w:ascii="Arial" w:hAnsi="Arial" w:cs="Arial"/>
          <w:b/>
          <w:bCs/>
          <w:color w:val="000000"/>
          <w:sz w:val="20"/>
          <w:szCs w:val="20"/>
        </w:rPr>
        <w:t>Encl.: Annex</w:t>
      </w:r>
    </w:p>
    <w:p w:rsidR="007E2B77" w:rsidRPr="00470480" w:rsidRDefault="007E2B77" w:rsidP="007E2B77">
      <w:pPr>
        <w:pStyle w:val="NormalWeb"/>
        <w:rPr>
          <w:rFonts w:ascii="Arial" w:hAnsi="Arial" w:cs="Arial"/>
          <w:color w:val="000000"/>
          <w:sz w:val="20"/>
          <w:szCs w:val="20"/>
        </w:rPr>
      </w:pPr>
    </w:p>
    <w:p w:rsidR="007E2B77" w:rsidRPr="00470480" w:rsidRDefault="007E2B77" w:rsidP="007E2B77">
      <w:pPr>
        <w:spacing w:after="0"/>
        <w:jc w:val="both"/>
        <w:rPr>
          <w:rFonts w:ascii="Arial" w:hAnsi="Arial" w:cs="Arial"/>
          <w:sz w:val="20"/>
          <w:szCs w:val="20"/>
        </w:rPr>
      </w:pPr>
      <w:r w:rsidRPr="00470480">
        <w:rPr>
          <w:rFonts w:ascii="Arial" w:hAnsi="Arial" w:cs="Arial"/>
          <w:sz w:val="20"/>
          <w:szCs w:val="20"/>
        </w:rPr>
        <w:t xml:space="preserve">Reference Link: </w:t>
      </w:r>
      <w:hyperlink r:id="rId47" w:history="1">
        <w:r w:rsidRPr="00470480">
          <w:rPr>
            <w:rStyle w:val="Hyperlink"/>
            <w:rFonts w:ascii="Arial" w:hAnsi="Arial" w:cs="Arial"/>
            <w:sz w:val="20"/>
            <w:szCs w:val="20"/>
          </w:rPr>
          <w:t>https://www.rbi.org.in/Scripts/NotificationUser.aspx?Id=12290&amp;Mode=0</w:t>
        </w:r>
      </w:hyperlink>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Default="007E2B77" w:rsidP="007E2B77">
      <w:pPr>
        <w:spacing w:after="0"/>
        <w:jc w:val="both"/>
        <w:rPr>
          <w:rFonts w:ascii="Arial" w:hAnsi="Arial" w:cs="Arial"/>
          <w:b/>
          <w:bCs/>
          <w:color w:val="000000"/>
          <w:sz w:val="20"/>
          <w:szCs w:val="20"/>
        </w:rPr>
      </w:pPr>
    </w:p>
    <w:p w:rsidR="007E2B77" w:rsidRDefault="007E2B77" w:rsidP="007E2B77">
      <w:pPr>
        <w:spacing w:after="0"/>
        <w:jc w:val="both"/>
        <w:rPr>
          <w:rFonts w:ascii="Arial" w:hAnsi="Arial" w:cs="Arial"/>
          <w:b/>
          <w:bCs/>
          <w:color w:val="000000"/>
          <w:sz w:val="20"/>
          <w:szCs w:val="20"/>
        </w:rPr>
      </w:pPr>
      <w:r>
        <w:rPr>
          <w:rFonts w:ascii="Arial" w:hAnsi="Arial" w:cs="Arial"/>
          <w:b/>
          <w:bCs/>
          <w:color w:val="000000"/>
          <w:sz w:val="20"/>
          <w:szCs w:val="20"/>
        </w:rPr>
        <w:lastRenderedPageBreak/>
        <w:t>Section 24 and Section 56 of the Banking Regulation Act, 1949 – Maintenance of Statutory Liquidity Ratio (SLR)</w:t>
      </w:r>
      <w:r w:rsidRPr="00470480">
        <w:rPr>
          <w:rFonts w:ascii="Arial" w:hAnsi="Arial" w:cs="Arial"/>
          <w:b/>
          <w:bCs/>
          <w:color w:val="000000"/>
          <w:sz w:val="20"/>
          <w:szCs w:val="20"/>
        </w:rPr>
        <w:t xml:space="preserve"> </w:t>
      </w:r>
    </w:p>
    <w:p w:rsidR="007E2B77" w:rsidRDefault="007E2B77" w:rsidP="007E2B77">
      <w:pPr>
        <w:spacing w:after="0"/>
        <w:jc w:val="both"/>
        <w:rPr>
          <w:rFonts w:ascii="Arial" w:hAnsi="Arial" w:cs="Arial"/>
          <w:b/>
          <w:bCs/>
          <w:color w:val="000000"/>
          <w:sz w:val="20"/>
          <w:szCs w:val="20"/>
        </w:rPr>
      </w:pPr>
    </w:p>
    <w:p w:rsidR="007E2B77" w:rsidRDefault="007E2B77" w:rsidP="007E2B77">
      <w:pPr>
        <w:spacing w:after="0"/>
        <w:jc w:val="both"/>
        <w:rPr>
          <w:rFonts w:ascii="Arial" w:hAnsi="Arial" w:cs="Arial"/>
          <w:b/>
          <w:bCs/>
          <w:color w:val="000000"/>
          <w:sz w:val="20"/>
          <w:szCs w:val="20"/>
        </w:rPr>
      </w:pPr>
    </w:p>
    <w:p w:rsidR="007E2B77" w:rsidRDefault="007E2B77" w:rsidP="007E2B77">
      <w:pPr>
        <w:pStyle w:val="NormalWeb"/>
        <w:jc w:val="both"/>
        <w:rPr>
          <w:rFonts w:ascii="Arial" w:hAnsi="Arial" w:cs="Arial"/>
          <w:color w:val="000000"/>
          <w:sz w:val="20"/>
          <w:szCs w:val="20"/>
        </w:rPr>
      </w:pPr>
      <w:r>
        <w:rPr>
          <w:rFonts w:ascii="Arial" w:hAnsi="Arial" w:cs="Arial"/>
          <w:color w:val="000000"/>
          <w:sz w:val="20"/>
          <w:szCs w:val="20"/>
        </w:rPr>
        <w:t>RBI/2022-23/23</w:t>
      </w:r>
      <w:r>
        <w:rPr>
          <w:rFonts w:ascii="Arial" w:hAnsi="Arial" w:cs="Arial"/>
          <w:color w:val="000000"/>
          <w:sz w:val="20"/>
          <w:szCs w:val="20"/>
        </w:rPr>
        <w:br/>
        <w:t>DOR.RET.REC.15/12.01.001/2022-23</w:t>
      </w:r>
    </w:p>
    <w:p w:rsidR="007E2B77" w:rsidRDefault="007E2B77" w:rsidP="007E2B77">
      <w:pPr>
        <w:pStyle w:val="NormalWeb"/>
        <w:jc w:val="right"/>
        <w:rPr>
          <w:rFonts w:ascii="Arial" w:hAnsi="Arial" w:cs="Arial"/>
          <w:color w:val="000000"/>
          <w:sz w:val="20"/>
          <w:szCs w:val="20"/>
        </w:rPr>
      </w:pPr>
      <w:r>
        <w:rPr>
          <w:rFonts w:ascii="Arial" w:hAnsi="Arial" w:cs="Arial"/>
          <w:color w:val="000000"/>
          <w:sz w:val="20"/>
          <w:szCs w:val="20"/>
        </w:rPr>
        <w:t>April 08, 2022</w:t>
      </w:r>
    </w:p>
    <w:p w:rsidR="007E2B77" w:rsidRDefault="007E2B77" w:rsidP="007E2B77">
      <w:pPr>
        <w:pStyle w:val="NormalWeb"/>
        <w:rPr>
          <w:rFonts w:ascii="Arial" w:hAnsi="Arial" w:cs="Arial"/>
          <w:color w:val="000000"/>
          <w:sz w:val="20"/>
          <w:szCs w:val="20"/>
        </w:rPr>
      </w:pPr>
      <w:r>
        <w:rPr>
          <w:rFonts w:ascii="Arial" w:hAnsi="Arial" w:cs="Arial"/>
          <w:color w:val="000000"/>
          <w:sz w:val="20"/>
          <w:szCs w:val="20"/>
        </w:rPr>
        <w:t>All Scheduled Commercial Banks (including Regional Rural Banks)</w:t>
      </w:r>
      <w:r>
        <w:rPr>
          <w:rFonts w:ascii="Arial" w:hAnsi="Arial" w:cs="Arial"/>
          <w:color w:val="000000"/>
          <w:sz w:val="20"/>
          <w:szCs w:val="20"/>
        </w:rPr>
        <w:br/>
        <w:t>Local Area Banks, Small Finance Banks, Payments Banks</w:t>
      </w:r>
      <w:r>
        <w:rPr>
          <w:rFonts w:ascii="Arial" w:hAnsi="Arial" w:cs="Arial"/>
          <w:color w:val="000000"/>
          <w:sz w:val="20"/>
          <w:szCs w:val="20"/>
        </w:rPr>
        <w:br/>
        <w:t>Primary (Urban) Co-operative Banks (UCBs)</w:t>
      </w:r>
      <w:r>
        <w:rPr>
          <w:rFonts w:ascii="Arial" w:hAnsi="Arial" w:cs="Arial"/>
          <w:color w:val="000000"/>
          <w:sz w:val="20"/>
          <w:szCs w:val="20"/>
        </w:rPr>
        <w:br/>
        <w:t>State and Central Co-operative Banks (</w:t>
      </w:r>
      <w:proofErr w:type="spellStart"/>
      <w:r>
        <w:rPr>
          <w:rFonts w:ascii="Arial" w:hAnsi="Arial" w:cs="Arial"/>
          <w:color w:val="000000"/>
          <w:sz w:val="20"/>
          <w:szCs w:val="20"/>
        </w:rPr>
        <w:t>StCBs</w:t>
      </w:r>
      <w:proofErr w:type="spellEnd"/>
      <w:r>
        <w:rPr>
          <w:rFonts w:ascii="Arial" w:hAnsi="Arial" w:cs="Arial"/>
          <w:color w:val="000000"/>
          <w:sz w:val="20"/>
          <w:szCs w:val="20"/>
        </w:rPr>
        <w:t xml:space="preserve"> / CCBs)</w:t>
      </w:r>
    </w:p>
    <w:p w:rsidR="007E2B77" w:rsidRDefault="007E2B77" w:rsidP="007E2B77">
      <w:pPr>
        <w:pStyle w:val="NormalWeb"/>
        <w:jc w:val="both"/>
        <w:rPr>
          <w:rFonts w:ascii="Arial" w:hAnsi="Arial" w:cs="Arial"/>
          <w:color w:val="000000"/>
          <w:sz w:val="20"/>
          <w:szCs w:val="20"/>
        </w:rPr>
      </w:pPr>
      <w:r>
        <w:rPr>
          <w:rFonts w:ascii="Arial" w:hAnsi="Arial" w:cs="Arial"/>
          <w:color w:val="000000"/>
          <w:sz w:val="20"/>
          <w:szCs w:val="20"/>
        </w:rPr>
        <w:t>Madam/Sir,</w:t>
      </w:r>
    </w:p>
    <w:p w:rsidR="007E2B77" w:rsidRDefault="007E2B77" w:rsidP="007E2B77">
      <w:pPr>
        <w:pStyle w:val="head"/>
        <w:jc w:val="center"/>
        <w:rPr>
          <w:rFonts w:ascii="Arial" w:hAnsi="Arial" w:cs="Arial"/>
          <w:b/>
          <w:bCs/>
          <w:color w:val="000000"/>
          <w:sz w:val="20"/>
          <w:szCs w:val="20"/>
        </w:rPr>
      </w:pPr>
      <w:r>
        <w:rPr>
          <w:rFonts w:ascii="Arial" w:hAnsi="Arial" w:cs="Arial"/>
          <w:b/>
          <w:bCs/>
          <w:color w:val="000000"/>
          <w:sz w:val="20"/>
          <w:szCs w:val="20"/>
        </w:rPr>
        <w:t>Section 24 and Section 56 of the Banking Regulation Act, 1949 –</w:t>
      </w:r>
      <w:r>
        <w:rPr>
          <w:rFonts w:ascii="Arial" w:hAnsi="Arial" w:cs="Arial"/>
          <w:b/>
          <w:bCs/>
          <w:color w:val="000000"/>
          <w:sz w:val="20"/>
          <w:szCs w:val="20"/>
        </w:rPr>
        <w:br/>
        <w:t>Maintenance of Statutory Liquidity Ratio (SLR)</w:t>
      </w:r>
    </w:p>
    <w:p w:rsidR="007E2B77" w:rsidRDefault="007E2B77" w:rsidP="007E2B77">
      <w:pPr>
        <w:pStyle w:val="NormalWeb"/>
        <w:jc w:val="both"/>
        <w:rPr>
          <w:rFonts w:ascii="Arial" w:hAnsi="Arial" w:cs="Arial"/>
          <w:color w:val="000000"/>
          <w:sz w:val="20"/>
          <w:szCs w:val="20"/>
        </w:rPr>
      </w:pPr>
      <w:r>
        <w:rPr>
          <w:rFonts w:ascii="Arial" w:hAnsi="Arial" w:cs="Arial"/>
          <w:color w:val="000000"/>
          <w:sz w:val="20"/>
          <w:szCs w:val="20"/>
        </w:rPr>
        <w:t>Please refer to </w:t>
      </w:r>
      <w:hyperlink r:id="rId48" w:tgtFrame="_blank" w:history="1">
        <w:r>
          <w:rPr>
            <w:rStyle w:val="Hyperlink"/>
            <w:rFonts w:ascii="Arial" w:hAnsi="Arial" w:cs="Arial"/>
            <w:sz w:val="20"/>
            <w:szCs w:val="20"/>
          </w:rPr>
          <w:t>circular DBR.No.Ret.BC.10/12.02.001/2018-19 dated December 05, 2018</w:t>
        </w:r>
      </w:hyperlink>
      <w:r>
        <w:rPr>
          <w:rFonts w:ascii="Arial" w:hAnsi="Arial" w:cs="Arial"/>
          <w:color w:val="000000"/>
          <w:sz w:val="20"/>
          <w:szCs w:val="20"/>
        </w:rPr>
        <w:t> and relative notification on the captioned subject.</w:t>
      </w:r>
    </w:p>
    <w:p w:rsidR="007E2B77" w:rsidRDefault="007E2B77" w:rsidP="007E2B77">
      <w:pPr>
        <w:pStyle w:val="NormalWeb"/>
        <w:jc w:val="both"/>
        <w:rPr>
          <w:rFonts w:ascii="Arial" w:hAnsi="Arial" w:cs="Arial"/>
          <w:color w:val="000000"/>
          <w:sz w:val="20"/>
          <w:szCs w:val="20"/>
        </w:rPr>
      </w:pPr>
      <w:r>
        <w:rPr>
          <w:rFonts w:ascii="Arial" w:hAnsi="Arial" w:cs="Arial"/>
          <w:color w:val="000000"/>
          <w:sz w:val="20"/>
          <w:szCs w:val="20"/>
        </w:rPr>
        <w:t>2. As announced in the</w:t>
      </w:r>
      <w:hyperlink r:id="rId49" w:tgtFrame="_blank" w:history="1">
        <w:r>
          <w:rPr>
            <w:rStyle w:val="Hyperlink"/>
            <w:rFonts w:ascii="Arial" w:hAnsi="Arial" w:cs="Arial"/>
            <w:sz w:val="20"/>
            <w:szCs w:val="20"/>
          </w:rPr>
          <w:t> Statement on Developmental and Regulatory Policies on April 08, 2022</w:t>
        </w:r>
      </w:hyperlink>
      <w:r>
        <w:rPr>
          <w:rFonts w:ascii="Arial" w:hAnsi="Arial" w:cs="Arial"/>
          <w:color w:val="000000"/>
          <w:sz w:val="20"/>
          <w:szCs w:val="20"/>
        </w:rPr>
        <w:t>, it has been decided to institute the Standing Deposit Facility (SDF) with immediate effect. Accordingly, it is decided that the balances held by banks with the RBI under the SDF shall be an eligible Statutory Liquidity Ratio (SLR) asset and such balances shall form part of “Cash” for SLR maintenance. Banks shall report the SDF balances under "Cash in hand" in Form VIII or Form I, as applicable.</w:t>
      </w:r>
    </w:p>
    <w:p w:rsidR="007E2B77" w:rsidRDefault="007E2B77" w:rsidP="007E2B77">
      <w:pPr>
        <w:pStyle w:val="NormalWeb"/>
        <w:jc w:val="both"/>
        <w:rPr>
          <w:rFonts w:ascii="Arial" w:hAnsi="Arial" w:cs="Arial"/>
          <w:color w:val="000000"/>
          <w:sz w:val="20"/>
          <w:szCs w:val="20"/>
        </w:rPr>
      </w:pPr>
      <w:r>
        <w:rPr>
          <w:rFonts w:ascii="Arial" w:hAnsi="Arial" w:cs="Arial"/>
          <w:color w:val="000000"/>
          <w:sz w:val="20"/>
          <w:szCs w:val="20"/>
        </w:rPr>
        <w:t>3. The balances held by banks with RBI under the SDF shall not be eligible for Cash Reserve Ratio (CRR) maintenance.</w:t>
      </w:r>
    </w:p>
    <w:p w:rsidR="007E2B77" w:rsidRDefault="007E2B77" w:rsidP="007E2B77">
      <w:pPr>
        <w:pStyle w:val="NormalWeb"/>
        <w:jc w:val="both"/>
        <w:rPr>
          <w:rFonts w:ascii="Arial" w:hAnsi="Arial" w:cs="Arial"/>
          <w:color w:val="000000"/>
          <w:sz w:val="20"/>
          <w:szCs w:val="20"/>
        </w:rPr>
      </w:pPr>
      <w:r>
        <w:rPr>
          <w:rFonts w:ascii="Arial" w:hAnsi="Arial" w:cs="Arial"/>
          <w:color w:val="000000"/>
          <w:sz w:val="20"/>
          <w:szCs w:val="20"/>
        </w:rPr>
        <w:t>4. A copy of the relative notification DOR.RET.REC.16/12.01.001/2022-23 dated April 08, 2022, is </w:t>
      </w:r>
      <w:hyperlink r:id="rId50" w:anchor="AN1" w:history="1">
        <w:r>
          <w:rPr>
            <w:rStyle w:val="Hyperlink"/>
            <w:rFonts w:ascii="Arial" w:hAnsi="Arial" w:cs="Arial"/>
            <w:sz w:val="20"/>
            <w:szCs w:val="20"/>
          </w:rPr>
          <w:t>enclosed</w:t>
        </w:r>
      </w:hyperlink>
      <w:r>
        <w:rPr>
          <w:rFonts w:ascii="Arial" w:hAnsi="Arial" w:cs="Arial"/>
          <w:color w:val="000000"/>
          <w:sz w:val="20"/>
          <w:szCs w:val="20"/>
        </w:rPr>
        <w:t>.</w:t>
      </w:r>
    </w:p>
    <w:p w:rsidR="007E2B77" w:rsidRDefault="007E2B77" w:rsidP="007E2B77">
      <w:pPr>
        <w:pStyle w:val="NormalWeb"/>
        <w:jc w:val="both"/>
        <w:rPr>
          <w:rFonts w:ascii="Arial" w:hAnsi="Arial" w:cs="Arial"/>
          <w:color w:val="000000"/>
          <w:sz w:val="20"/>
          <w:szCs w:val="20"/>
        </w:rPr>
      </w:pPr>
      <w:r>
        <w:rPr>
          <w:rFonts w:ascii="Arial" w:hAnsi="Arial" w:cs="Arial"/>
          <w:color w:val="000000"/>
          <w:sz w:val="20"/>
          <w:szCs w:val="20"/>
        </w:rPr>
        <w:t>Yours faithfully,</w:t>
      </w:r>
    </w:p>
    <w:p w:rsidR="007E2B77" w:rsidRDefault="007E2B77" w:rsidP="007E2B77">
      <w:pPr>
        <w:pStyle w:val="NormalWeb"/>
        <w:rPr>
          <w:rFonts w:ascii="Arial" w:hAnsi="Arial" w:cs="Arial"/>
          <w:color w:val="000000"/>
          <w:sz w:val="20"/>
          <w:szCs w:val="20"/>
        </w:rPr>
      </w:pPr>
      <w:r>
        <w:rPr>
          <w:rFonts w:ascii="Arial" w:hAnsi="Arial" w:cs="Arial"/>
          <w:color w:val="000000"/>
          <w:sz w:val="20"/>
          <w:szCs w:val="20"/>
        </w:rPr>
        <w:t xml:space="preserve">(Prakash </w:t>
      </w:r>
      <w:proofErr w:type="spellStart"/>
      <w:r>
        <w:rPr>
          <w:rFonts w:ascii="Arial" w:hAnsi="Arial" w:cs="Arial"/>
          <w:color w:val="000000"/>
          <w:sz w:val="20"/>
          <w:szCs w:val="20"/>
        </w:rPr>
        <w:t>Baliarsingh</w:t>
      </w:r>
      <w:proofErr w:type="spellEnd"/>
      <w:r>
        <w:rPr>
          <w:rFonts w:ascii="Arial" w:hAnsi="Arial" w:cs="Arial"/>
          <w:color w:val="000000"/>
          <w:sz w:val="20"/>
          <w:szCs w:val="20"/>
        </w:rPr>
        <w:t>)</w:t>
      </w:r>
      <w:r>
        <w:rPr>
          <w:rFonts w:ascii="Arial" w:hAnsi="Arial" w:cs="Arial"/>
          <w:color w:val="000000"/>
          <w:sz w:val="20"/>
          <w:szCs w:val="20"/>
        </w:rPr>
        <w:br/>
        <w:t>Chief General Manager</w:t>
      </w:r>
    </w:p>
    <w:p w:rsidR="007E2B77" w:rsidRDefault="007E2B77" w:rsidP="007E2B77">
      <w:pPr>
        <w:pStyle w:val="NormalWeb"/>
        <w:jc w:val="both"/>
        <w:rPr>
          <w:rFonts w:ascii="Arial" w:hAnsi="Arial" w:cs="Arial"/>
          <w:color w:val="000000"/>
          <w:sz w:val="20"/>
          <w:szCs w:val="20"/>
        </w:rPr>
      </w:pPr>
    </w:p>
    <w:p w:rsidR="007E2B77" w:rsidRDefault="007E2B77" w:rsidP="007E2B77">
      <w:pPr>
        <w:pStyle w:val="NormalWeb"/>
        <w:jc w:val="both"/>
        <w:rPr>
          <w:rFonts w:ascii="Arial" w:hAnsi="Arial" w:cs="Arial"/>
          <w:color w:val="000000"/>
          <w:sz w:val="20"/>
          <w:szCs w:val="20"/>
        </w:rPr>
      </w:pPr>
      <w:r>
        <w:rPr>
          <w:rFonts w:ascii="Arial" w:hAnsi="Arial" w:cs="Arial"/>
          <w:color w:val="000000"/>
          <w:sz w:val="20"/>
          <w:szCs w:val="20"/>
        </w:rPr>
        <w:t>For detailed notification, refer to the link below.</w:t>
      </w:r>
    </w:p>
    <w:p w:rsidR="007E2B77" w:rsidRDefault="007E2B77" w:rsidP="007E2B77">
      <w:pPr>
        <w:spacing w:after="0"/>
        <w:jc w:val="both"/>
        <w:rPr>
          <w:rFonts w:ascii="Arial" w:hAnsi="Arial" w:cs="Arial"/>
          <w:bCs/>
          <w:color w:val="000000"/>
          <w:sz w:val="20"/>
          <w:szCs w:val="20"/>
        </w:rPr>
      </w:pPr>
      <w:r w:rsidRPr="00311876">
        <w:rPr>
          <w:rFonts w:ascii="Arial" w:hAnsi="Arial" w:cs="Arial"/>
          <w:bCs/>
          <w:color w:val="000000"/>
          <w:sz w:val="20"/>
          <w:szCs w:val="20"/>
        </w:rPr>
        <w:t xml:space="preserve">Reference Link: </w:t>
      </w:r>
      <w:hyperlink r:id="rId51" w:history="1">
        <w:r w:rsidRPr="00321241">
          <w:rPr>
            <w:rStyle w:val="Hyperlink"/>
            <w:rFonts w:ascii="Arial" w:hAnsi="Arial" w:cs="Arial"/>
            <w:bCs/>
            <w:sz w:val="20"/>
            <w:szCs w:val="20"/>
          </w:rPr>
          <w:t>https://www.rbi.org.in/Scripts/NotificationUser.aspx?Id=12289&amp;Mode=0</w:t>
        </w:r>
      </w:hyperlink>
    </w:p>
    <w:p w:rsidR="007E2B77" w:rsidRPr="00311876" w:rsidRDefault="007E2B77" w:rsidP="007E2B77">
      <w:pPr>
        <w:spacing w:after="0"/>
        <w:jc w:val="both"/>
        <w:rPr>
          <w:rFonts w:ascii="Arial" w:hAnsi="Arial" w:cs="Arial"/>
          <w:bCs/>
          <w:color w:val="000000"/>
          <w:sz w:val="20"/>
          <w:szCs w:val="20"/>
        </w:rPr>
      </w:pPr>
    </w:p>
    <w:p w:rsidR="007E2B77" w:rsidRDefault="007E2B77" w:rsidP="007E2B77">
      <w:pPr>
        <w:spacing w:after="0"/>
        <w:jc w:val="both"/>
        <w:rPr>
          <w:rFonts w:ascii="Arial" w:hAnsi="Arial" w:cs="Arial"/>
          <w:b/>
          <w:bCs/>
          <w:color w:val="000000"/>
          <w:sz w:val="20"/>
          <w:szCs w:val="20"/>
        </w:rPr>
      </w:pPr>
    </w:p>
    <w:p w:rsidR="007E2B77" w:rsidRDefault="007E2B77" w:rsidP="007E2B77">
      <w:pPr>
        <w:spacing w:after="0"/>
        <w:jc w:val="both"/>
        <w:rPr>
          <w:rFonts w:ascii="Arial" w:hAnsi="Arial" w:cs="Arial"/>
          <w:b/>
          <w:bCs/>
          <w:color w:val="000000"/>
          <w:sz w:val="20"/>
          <w:szCs w:val="20"/>
        </w:rPr>
      </w:pPr>
    </w:p>
    <w:p w:rsidR="007E2B77" w:rsidRDefault="007E2B77" w:rsidP="007E2B77">
      <w:pPr>
        <w:spacing w:after="0"/>
        <w:jc w:val="both"/>
        <w:rPr>
          <w:rFonts w:ascii="Arial" w:hAnsi="Arial" w:cs="Arial"/>
          <w:b/>
          <w:bCs/>
          <w:color w:val="000000"/>
          <w:sz w:val="20"/>
          <w:szCs w:val="20"/>
        </w:rPr>
      </w:pPr>
    </w:p>
    <w:p w:rsidR="007E2B77" w:rsidRDefault="007E2B77" w:rsidP="007E2B77">
      <w:pPr>
        <w:spacing w:after="0"/>
        <w:jc w:val="both"/>
        <w:rPr>
          <w:rFonts w:ascii="Arial" w:hAnsi="Arial" w:cs="Arial"/>
          <w:b/>
          <w:bCs/>
          <w:color w:val="000000"/>
          <w:sz w:val="20"/>
          <w:szCs w:val="20"/>
        </w:rPr>
      </w:pPr>
    </w:p>
    <w:p w:rsidR="007E2B77" w:rsidRDefault="007E2B77" w:rsidP="007E2B77">
      <w:pPr>
        <w:spacing w:after="0"/>
        <w:jc w:val="both"/>
        <w:rPr>
          <w:rFonts w:ascii="Arial" w:hAnsi="Arial" w:cs="Arial"/>
          <w:b/>
          <w:bCs/>
          <w:color w:val="000000"/>
          <w:sz w:val="20"/>
          <w:szCs w:val="20"/>
        </w:rPr>
      </w:pPr>
    </w:p>
    <w:p w:rsidR="007E2B77" w:rsidRDefault="007E2B77" w:rsidP="007E2B77">
      <w:pPr>
        <w:spacing w:after="0"/>
        <w:jc w:val="both"/>
        <w:rPr>
          <w:rFonts w:ascii="Arial" w:hAnsi="Arial" w:cs="Arial"/>
          <w:b/>
          <w:bCs/>
          <w:color w:val="000000"/>
          <w:sz w:val="20"/>
          <w:szCs w:val="20"/>
        </w:rPr>
      </w:pPr>
    </w:p>
    <w:p w:rsidR="007E2B77" w:rsidRDefault="007E2B77" w:rsidP="007E2B77">
      <w:pPr>
        <w:spacing w:after="0"/>
        <w:jc w:val="both"/>
        <w:rPr>
          <w:rFonts w:ascii="Arial" w:hAnsi="Arial" w:cs="Arial"/>
          <w:b/>
          <w:bCs/>
          <w:color w:val="000000"/>
          <w:sz w:val="20"/>
          <w:szCs w:val="20"/>
        </w:rPr>
      </w:pPr>
    </w:p>
    <w:p w:rsidR="007E2B77" w:rsidRDefault="007E2B77" w:rsidP="007E2B77">
      <w:pPr>
        <w:spacing w:after="0"/>
        <w:jc w:val="both"/>
        <w:rPr>
          <w:rFonts w:ascii="Arial" w:hAnsi="Arial" w:cs="Arial"/>
          <w:b/>
          <w:bCs/>
          <w:color w:val="000000"/>
          <w:sz w:val="20"/>
          <w:szCs w:val="20"/>
        </w:rPr>
      </w:pPr>
    </w:p>
    <w:p w:rsidR="007E2B77" w:rsidRDefault="007E2B77" w:rsidP="007E2B77">
      <w:pPr>
        <w:spacing w:after="0"/>
        <w:jc w:val="both"/>
        <w:rPr>
          <w:rFonts w:ascii="Arial" w:hAnsi="Arial" w:cs="Arial"/>
          <w:b/>
          <w:bCs/>
          <w:color w:val="000000"/>
          <w:sz w:val="20"/>
          <w:szCs w:val="20"/>
        </w:rPr>
      </w:pPr>
    </w:p>
    <w:p w:rsidR="007E2B77" w:rsidRDefault="007E2B77">
      <w:r>
        <w:br w:type="page"/>
      </w:r>
    </w:p>
    <w:p w:rsidR="007E2B77" w:rsidRPr="00470480" w:rsidRDefault="007E2B77" w:rsidP="007E2B77">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Prudential norms on Income Recognition, Asset Classification and Provisioning pertaining to Advances</w:t>
      </w:r>
    </w:p>
    <w:p w:rsidR="007E2B77" w:rsidRPr="00470480" w:rsidRDefault="007E2B77" w:rsidP="007E2B77">
      <w:pPr>
        <w:spacing w:after="0"/>
        <w:jc w:val="both"/>
        <w:rPr>
          <w:rFonts w:ascii="Arial" w:hAnsi="Arial" w:cs="Arial"/>
          <w:b/>
          <w:bCs/>
          <w:color w:val="000000"/>
          <w:sz w:val="20"/>
          <w:szCs w:val="20"/>
        </w:rPr>
      </w:pP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RBI/2022-23/15</w:t>
      </w:r>
      <w:r w:rsidRPr="00470480">
        <w:rPr>
          <w:rFonts w:ascii="Arial" w:hAnsi="Arial" w:cs="Arial"/>
          <w:color w:val="000000"/>
          <w:sz w:val="20"/>
          <w:szCs w:val="20"/>
        </w:rPr>
        <w:br/>
        <w:t>DOR.STR.REC.4/21.04.048/2022-23</w:t>
      </w:r>
    </w:p>
    <w:p w:rsidR="007E2B77" w:rsidRPr="00470480" w:rsidRDefault="007E2B77" w:rsidP="007E2B77">
      <w:pPr>
        <w:pStyle w:val="NormalWeb"/>
        <w:jc w:val="right"/>
        <w:rPr>
          <w:rFonts w:ascii="Arial" w:hAnsi="Arial" w:cs="Arial"/>
          <w:color w:val="000000"/>
          <w:sz w:val="20"/>
          <w:szCs w:val="20"/>
        </w:rPr>
      </w:pPr>
      <w:r w:rsidRPr="00470480">
        <w:rPr>
          <w:rFonts w:ascii="Arial" w:hAnsi="Arial" w:cs="Arial"/>
          <w:color w:val="000000"/>
          <w:sz w:val="20"/>
          <w:szCs w:val="20"/>
        </w:rPr>
        <w:t>April 1, 2022</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All Commercial Banks (excluding RRBs)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7E2B77" w:rsidRPr="00470480" w:rsidRDefault="007E2B77" w:rsidP="007E2B77">
      <w:pPr>
        <w:pStyle w:val="head"/>
        <w:jc w:val="both"/>
        <w:rPr>
          <w:rFonts w:ascii="Arial" w:hAnsi="Arial" w:cs="Arial"/>
          <w:b/>
          <w:bCs/>
          <w:color w:val="000000"/>
          <w:sz w:val="20"/>
          <w:szCs w:val="20"/>
        </w:rPr>
      </w:pPr>
      <w:r w:rsidRPr="00470480">
        <w:rPr>
          <w:rFonts w:ascii="Arial" w:hAnsi="Arial" w:cs="Arial"/>
          <w:b/>
          <w:bCs/>
          <w:color w:val="000000"/>
          <w:sz w:val="20"/>
          <w:szCs w:val="20"/>
        </w:rPr>
        <w:t>Master Circular - Prudential norms on Income Recognition, Asset Classification and Provisioning pertaining to Advances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Please refer to the </w:t>
      </w:r>
      <w:hyperlink r:id="rId52" w:tgtFrame="_blank" w:history="1">
        <w:r w:rsidRPr="00470480">
          <w:rPr>
            <w:rStyle w:val="Hyperlink"/>
            <w:rFonts w:ascii="Arial" w:hAnsi="Arial" w:cs="Arial"/>
            <w:sz w:val="20"/>
            <w:szCs w:val="20"/>
          </w:rPr>
          <w:t>Master Circular DOR.No.STR.REC.55/21.04.048/2021-22 dated October 1, 2021</w:t>
        </w:r>
      </w:hyperlink>
      <w:r w:rsidRPr="00470480">
        <w:rPr>
          <w:rFonts w:ascii="Arial" w:hAnsi="Arial" w:cs="Arial"/>
          <w:color w:val="000000"/>
          <w:sz w:val="20"/>
          <w:szCs w:val="20"/>
        </w:rPr>
        <w:t> consolidating instructions / guidelines issued to banks till September 30, 2021 on matters relating to prudential norms on income recognition, asset classification and provisioning pertaining to advances.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2. This </w:t>
      </w:r>
      <w:hyperlink r:id="rId53"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instructions on the above matters issued up to March 31, 2022. A list of circulars consolidated in this Master Circular is contained in </w:t>
      </w:r>
      <w:hyperlink r:id="rId54" w:anchor="AN5" w:history="1">
        <w:r w:rsidRPr="00470480">
          <w:rPr>
            <w:rStyle w:val="Hyperlink"/>
            <w:rFonts w:ascii="Arial" w:hAnsi="Arial" w:cs="Arial"/>
            <w:sz w:val="20"/>
            <w:szCs w:val="20"/>
          </w:rPr>
          <w:t>Annex 5</w:t>
        </w:r>
      </w:hyperlink>
      <w:r w:rsidRPr="00470480">
        <w:rPr>
          <w:rFonts w:ascii="Arial" w:hAnsi="Arial" w:cs="Arial"/>
          <w:color w:val="000000"/>
          <w:sz w:val="20"/>
          <w:szCs w:val="20"/>
        </w:rPr>
        <w:t>.</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7E2B77" w:rsidRPr="00470480" w:rsidRDefault="007E2B77" w:rsidP="007E2B77">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Encl.: As above</w:t>
      </w:r>
    </w:p>
    <w:p w:rsidR="007E2B77" w:rsidRPr="001942B3" w:rsidRDefault="007E2B77" w:rsidP="007E2B77">
      <w:pPr>
        <w:pStyle w:val="head"/>
        <w:rPr>
          <w:rFonts w:ascii="Arial" w:hAnsi="Arial" w:cs="Arial"/>
          <w:bCs/>
          <w:color w:val="000000"/>
          <w:sz w:val="20"/>
          <w:szCs w:val="20"/>
        </w:rPr>
      </w:pPr>
      <w:r w:rsidRPr="001942B3">
        <w:rPr>
          <w:rFonts w:ascii="Arial" w:hAnsi="Arial" w:cs="Arial"/>
          <w:bCs/>
          <w:color w:val="000000"/>
          <w:sz w:val="20"/>
          <w:szCs w:val="20"/>
        </w:rPr>
        <w:t>For the detailed ‘MASTER CIRCULAR - PRUDENTIAL NORMS ON INCOME RECOGNITION, ASSET CLASSIFICATION AND PROVISIONING PERTAINING TO ADVANCES’, refer to the link placed below.</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55" w:history="1">
        <w:r w:rsidRPr="00470480">
          <w:rPr>
            <w:rStyle w:val="Hyperlink"/>
            <w:rFonts w:ascii="Arial" w:hAnsi="Arial" w:cs="Arial"/>
            <w:sz w:val="20"/>
            <w:szCs w:val="20"/>
          </w:rPr>
          <w:t>https://www.rbi.org.in/Scripts/NotificationUser.aspx?Id=12281&amp;Mode=0</w:t>
        </w:r>
      </w:hyperlink>
    </w:p>
    <w:p w:rsidR="007E2B77" w:rsidRPr="00470480" w:rsidRDefault="007E2B77" w:rsidP="007E2B77">
      <w:pPr>
        <w:pStyle w:val="NormalWeb"/>
        <w:jc w:val="both"/>
        <w:rPr>
          <w:rFonts w:ascii="Arial" w:hAnsi="Arial" w:cs="Arial"/>
          <w:color w:val="000000"/>
          <w:sz w:val="20"/>
          <w:szCs w:val="20"/>
        </w:rPr>
      </w:pPr>
    </w:p>
    <w:p w:rsidR="007E2B77" w:rsidRPr="00470480" w:rsidRDefault="007E2B77" w:rsidP="007E2B77">
      <w:pPr>
        <w:pStyle w:val="NormalWeb"/>
        <w:jc w:val="both"/>
        <w:rPr>
          <w:rFonts w:ascii="Arial" w:hAnsi="Arial" w:cs="Arial"/>
          <w:color w:val="000000"/>
          <w:sz w:val="20"/>
          <w:szCs w:val="20"/>
        </w:rPr>
      </w:pPr>
    </w:p>
    <w:p w:rsidR="007E2B77" w:rsidRPr="00470480" w:rsidRDefault="007E2B77" w:rsidP="007E2B77">
      <w:pPr>
        <w:pStyle w:val="NormalWeb"/>
        <w:jc w:val="both"/>
        <w:rPr>
          <w:rFonts w:ascii="Arial" w:hAnsi="Arial" w:cs="Arial"/>
          <w:color w:val="000000"/>
          <w:sz w:val="20"/>
          <w:szCs w:val="20"/>
        </w:rPr>
      </w:pPr>
    </w:p>
    <w:p w:rsidR="007E2B77" w:rsidRPr="00470480" w:rsidRDefault="007E2B77" w:rsidP="007E2B77">
      <w:pPr>
        <w:pStyle w:val="NormalWeb"/>
        <w:jc w:val="both"/>
        <w:rPr>
          <w:rFonts w:ascii="Arial" w:hAnsi="Arial" w:cs="Arial"/>
          <w:color w:val="000000"/>
          <w:sz w:val="20"/>
          <w:szCs w:val="20"/>
        </w:rPr>
      </w:pPr>
    </w:p>
    <w:p w:rsidR="007E2B77" w:rsidRPr="00470480" w:rsidRDefault="007E2B77" w:rsidP="007E2B77">
      <w:pPr>
        <w:pStyle w:val="NormalWeb"/>
        <w:jc w:val="both"/>
        <w:rPr>
          <w:rFonts w:ascii="Arial" w:hAnsi="Arial" w:cs="Arial"/>
          <w:color w:val="000000"/>
          <w:sz w:val="20"/>
          <w:szCs w:val="20"/>
        </w:rPr>
      </w:pPr>
    </w:p>
    <w:p w:rsidR="007E2B77" w:rsidRPr="00470480" w:rsidRDefault="007E2B77" w:rsidP="007E2B77">
      <w:pPr>
        <w:pStyle w:val="NormalWeb"/>
        <w:jc w:val="both"/>
        <w:rPr>
          <w:rFonts w:ascii="Arial" w:hAnsi="Arial" w:cs="Arial"/>
          <w:color w:val="000000"/>
          <w:sz w:val="20"/>
          <w:szCs w:val="20"/>
        </w:rPr>
      </w:pPr>
    </w:p>
    <w:p w:rsidR="007E2B77" w:rsidRPr="00470480" w:rsidRDefault="007E2B77" w:rsidP="007E2B77">
      <w:pPr>
        <w:pStyle w:val="NormalWeb"/>
        <w:jc w:val="both"/>
        <w:rPr>
          <w:rFonts w:ascii="Arial" w:hAnsi="Arial" w:cs="Arial"/>
          <w:color w:val="000000"/>
          <w:sz w:val="20"/>
          <w:szCs w:val="20"/>
        </w:rPr>
      </w:pPr>
    </w:p>
    <w:p w:rsidR="007E2B77" w:rsidRPr="00470480" w:rsidRDefault="007E2B77" w:rsidP="007E2B77">
      <w:pPr>
        <w:pStyle w:val="NormalWeb"/>
        <w:jc w:val="both"/>
        <w:rPr>
          <w:rFonts w:ascii="Arial" w:hAnsi="Arial" w:cs="Arial"/>
          <w:color w:val="000000"/>
          <w:sz w:val="20"/>
          <w:szCs w:val="20"/>
        </w:rPr>
      </w:pPr>
    </w:p>
    <w:p w:rsidR="007E2B77" w:rsidRPr="00470480" w:rsidRDefault="007E2B77" w:rsidP="007E2B77">
      <w:pPr>
        <w:pStyle w:val="NormalWeb"/>
        <w:jc w:val="both"/>
        <w:rPr>
          <w:rFonts w:ascii="Arial" w:hAnsi="Arial" w:cs="Arial"/>
          <w:color w:val="000000"/>
          <w:sz w:val="20"/>
          <w:szCs w:val="20"/>
        </w:rPr>
      </w:pPr>
    </w:p>
    <w:p w:rsidR="007E2B77" w:rsidRPr="00470480" w:rsidRDefault="007E2B77" w:rsidP="007E2B77">
      <w:pPr>
        <w:pStyle w:val="NormalWeb"/>
        <w:jc w:val="both"/>
        <w:rPr>
          <w:rFonts w:ascii="Arial" w:hAnsi="Arial" w:cs="Arial"/>
          <w:color w:val="000000"/>
          <w:sz w:val="20"/>
          <w:szCs w:val="20"/>
        </w:rPr>
      </w:pPr>
    </w:p>
    <w:p w:rsidR="007E2B77" w:rsidRPr="00470480" w:rsidRDefault="007E2B77" w:rsidP="007E2B77">
      <w:pPr>
        <w:pStyle w:val="NormalWeb"/>
        <w:jc w:val="both"/>
        <w:rPr>
          <w:rFonts w:ascii="Arial" w:hAnsi="Arial" w:cs="Arial"/>
          <w:b/>
          <w:bCs/>
          <w:color w:val="000000"/>
          <w:sz w:val="20"/>
          <w:szCs w:val="20"/>
        </w:rPr>
      </w:pPr>
      <w:r w:rsidRPr="00470480">
        <w:rPr>
          <w:rFonts w:ascii="Arial" w:hAnsi="Arial" w:cs="Arial"/>
          <w:b/>
          <w:bCs/>
          <w:color w:val="000000"/>
          <w:sz w:val="20"/>
          <w:szCs w:val="20"/>
        </w:rPr>
        <w:lastRenderedPageBreak/>
        <w:t>Master Circular - Bank Finance to Non-Banking Financial Companies (NBFCs)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RBI/2022-23/14</w:t>
      </w:r>
      <w:r w:rsidRPr="00470480">
        <w:rPr>
          <w:rFonts w:ascii="Arial" w:hAnsi="Arial" w:cs="Arial"/>
          <w:color w:val="000000"/>
          <w:sz w:val="20"/>
          <w:szCs w:val="20"/>
        </w:rPr>
        <w:br/>
        <w:t>DOR.CRE.REC.No.07/21.04.172/2022-23</w:t>
      </w:r>
    </w:p>
    <w:p w:rsidR="007E2B77" w:rsidRPr="00470480" w:rsidRDefault="007E2B77" w:rsidP="007E2B77">
      <w:pPr>
        <w:pStyle w:val="NormalWeb"/>
        <w:jc w:val="right"/>
        <w:rPr>
          <w:rFonts w:ascii="Arial" w:hAnsi="Arial" w:cs="Arial"/>
          <w:color w:val="000000"/>
          <w:sz w:val="20"/>
          <w:szCs w:val="20"/>
        </w:rPr>
      </w:pPr>
      <w:r w:rsidRPr="00470480">
        <w:rPr>
          <w:rFonts w:ascii="Arial" w:hAnsi="Arial" w:cs="Arial"/>
          <w:color w:val="000000"/>
          <w:sz w:val="20"/>
          <w:szCs w:val="20"/>
        </w:rPr>
        <w:t>April 01, 2022</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All Scheduled Commercial Banks (excluding RRBs)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Madam/ Dear Sir,</w:t>
      </w:r>
    </w:p>
    <w:p w:rsidR="007E2B77" w:rsidRPr="00470480" w:rsidRDefault="007E2B77" w:rsidP="007E2B77">
      <w:pPr>
        <w:pStyle w:val="head"/>
        <w:jc w:val="center"/>
        <w:rPr>
          <w:rFonts w:ascii="Arial" w:hAnsi="Arial" w:cs="Arial"/>
          <w:b/>
          <w:bCs/>
          <w:color w:val="000000"/>
          <w:sz w:val="20"/>
          <w:szCs w:val="20"/>
        </w:rPr>
      </w:pPr>
      <w:r w:rsidRPr="00470480">
        <w:rPr>
          <w:rFonts w:ascii="Arial" w:hAnsi="Arial" w:cs="Arial"/>
          <w:b/>
          <w:bCs/>
          <w:color w:val="000000"/>
          <w:sz w:val="20"/>
          <w:szCs w:val="20"/>
        </w:rPr>
        <w:t>Master Circular - Bank Finance to Non-Banking Financial Companies (NBFCs)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56" w:tgtFrame="_blank" w:history="1">
        <w:r w:rsidRPr="00470480">
          <w:rPr>
            <w:rStyle w:val="Hyperlink"/>
            <w:rFonts w:ascii="Arial" w:hAnsi="Arial" w:cs="Arial"/>
            <w:sz w:val="20"/>
            <w:szCs w:val="20"/>
          </w:rPr>
          <w:t>Master Circular DOR.CRE.REC.No.77/21.04.172/2021-22 dated January 05, 2022 </w:t>
        </w:r>
      </w:hyperlink>
      <w:r w:rsidRPr="00470480">
        <w:rPr>
          <w:rFonts w:ascii="Arial" w:hAnsi="Arial" w:cs="Arial"/>
          <w:color w:val="000000"/>
          <w:sz w:val="20"/>
          <w:szCs w:val="20"/>
        </w:rPr>
        <w:t>on the captioned subject. This </w:t>
      </w:r>
      <w:hyperlink r:id="rId57"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instructions on the above matter issued up to March 31, 2022.</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7E2B77" w:rsidRPr="00470480" w:rsidRDefault="007E2B77" w:rsidP="007E2B77">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7E2B77" w:rsidRPr="001942B3" w:rsidRDefault="007E2B77" w:rsidP="007E2B77">
      <w:pPr>
        <w:pStyle w:val="NormalWeb"/>
        <w:jc w:val="both"/>
        <w:rPr>
          <w:rFonts w:ascii="Arial" w:hAnsi="Arial" w:cs="Arial"/>
          <w:color w:val="000000"/>
          <w:sz w:val="20"/>
          <w:szCs w:val="20"/>
        </w:rPr>
      </w:pPr>
      <w:r w:rsidRPr="001942B3">
        <w:rPr>
          <w:rFonts w:ascii="Arial" w:hAnsi="Arial" w:cs="Arial"/>
          <w:color w:val="000000"/>
          <w:sz w:val="20"/>
          <w:szCs w:val="20"/>
        </w:rPr>
        <w:t>For the detailed ‘</w:t>
      </w:r>
      <w:r w:rsidRPr="001942B3">
        <w:rPr>
          <w:rFonts w:ascii="Arial" w:hAnsi="Arial" w:cs="Arial"/>
          <w:bCs/>
          <w:color w:val="000000"/>
          <w:sz w:val="20"/>
          <w:szCs w:val="20"/>
        </w:rPr>
        <w:t>Master Circular on Bank Finance to Non-Banking Financial Companies (NBFCs)’</w:t>
      </w:r>
      <w:r>
        <w:rPr>
          <w:rFonts w:ascii="Arial" w:hAnsi="Arial" w:cs="Arial"/>
          <w:bCs/>
          <w:color w:val="000000"/>
          <w:sz w:val="20"/>
          <w:szCs w:val="20"/>
        </w:rPr>
        <w:t>, please refer to the link below.</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 xml:space="preserve">Reference Link: </w:t>
      </w:r>
      <w:hyperlink r:id="rId58" w:history="1">
        <w:r w:rsidRPr="00470480">
          <w:rPr>
            <w:rStyle w:val="Hyperlink"/>
            <w:rFonts w:ascii="Arial" w:hAnsi="Arial" w:cs="Arial"/>
            <w:sz w:val="20"/>
            <w:szCs w:val="20"/>
          </w:rPr>
          <w:t>https://www.rbi.org.in/Scripts/NotificationUser.aspx?Id=12280&amp;Mode=0</w:t>
        </w:r>
      </w:hyperlink>
    </w:p>
    <w:p w:rsidR="007E2B77" w:rsidRPr="00470480" w:rsidRDefault="007E2B77" w:rsidP="007E2B77">
      <w:pPr>
        <w:pStyle w:val="NormalWeb"/>
        <w:jc w:val="both"/>
        <w:rPr>
          <w:rFonts w:ascii="Arial" w:hAnsi="Arial" w:cs="Arial"/>
          <w:color w:val="000000"/>
          <w:sz w:val="20"/>
          <w:szCs w:val="20"/>
        </w:rPr>
      </w:pPr>
    </w:p>
    <w:p w:rsidR="007E2B77" w:rsidRPr="00470480" w:rsidRDefault="007E2B77" w:rsidP="007E2B77">
      <w:pPr>
        <w:pStyle w:val="NormalWeb"/>
        <w:jc w:val="both"/>
        <w:rPr>
          <w:rFonts w:ascii="Arial" w:hAnsi="Arial" w:cs="Arial"/>
          <w:color w:val="000000"/>
          <w:sz w:val="20"/>
          <w:szCs w:val="20"/>
        </w:rPr>
      </w:pPr>
    </w:p>
    <w:p w:rsidR="007E2B77" w:rsidRPr="00470480" w:rsidRDefault="007E2B77" w:rsidP="007E2B77">
      <w:pPr>
        <w:pStyle w:val="NormalWeb"/>
        <w:jc w:val="both"/>
        <w:rPr>
          <w:rFonts w:ascii="Arial" w:hAnsi="Arial" w:cs="Arial"/>
          <w:color w:val="000000"/>
          <w:sz w:val="20"/>
          <w:szCs w:val="20"/>
        </w:rPr>
      </w:pPr>
    </w:p>
    <w:p w:rsidR="007E2B77" w:rsidRDefault="007E2B77">
      <w:r>
        <w:br w:type="page"/>
      </w:r>
    </w:p>
    <w:p w:rsidR="007E2B77" w:rsidRPr="00470480" w:rsidRDefault="007E2B77" w:rsidP="007E2B77">
      <w:pPr>
        <w:spacing w:after="0"/>
        <w:jc w:val="both"/>
        <w:rPr>
          <w:rFonts w:ascii="Arial" w:hAnsi="Arial" w:cs="Arial"/>
          <w:b/>
          <w:bCs/>
          <w:color w:val="000000"/>
          <w:sz w:val="20"/>
          <w:szCs w:val="20"/>
        </w:rPr>
      </w:pPr>
    </w:p>
    <w:p w:rsidR="007E2B77" w:rsidRDefault="007E2B77" w:rsidP="007E2B77">
      <w:pPr>
        <w:spacing w:after="0"/>
        <w:jc w:val="both"/>
        <w:rPr>
          <w:rFonts w:ascii="Arial" w:hAnsi="Arial" w:cs="Arial"/>
          <w:b/>
          <w:bCs/>
          <w:color w:val="000000"/>
          <w:sz w:val="20"/>
          <w:szCs w:val="20"/>
        </w:rPr>
      </w:pPr>
    </w:p>
    <w:p w:rsidR="007E2B77" w:rsidRPr="00470480" w:rsidRDefault="007E2B77" w:rsidP="007E2B77">
      <w:pPr>
        <w:spacing w:after="0"/>
        <w:jc w:val="both"/>
        <w:rPr>
          <w:rFonts w:ascii="Arial" w:hAnsi="Arial" w:cs="Arial"/>
          <w:b/>
          <w:bCs/>
          <w:color w:val="000000"/>
          <w:sz w:val="20"/>
          <w:szCs w:val="20"/>
        </w:rPr>
      </w:pPr>
      <w:r w:rsidRPr="00470480">
        <w:rPr>
          <w:rFonts w:ascii="Arial" w:hAnsi="Arial" w:cs="Arial"/>
          <w:b/>
          <w:bCs/>
          <w:color w:val="000000"/>
          <w:sz w:val="20"/>
          <w:szCs w:val="20"/>
        </w:rPr>
        <w:t>Bilateral Netting of Qualified Financial Contracts - Amendments to Prudential Guidelines</w:t>
      </w:r>
    </w:p>
    <w:p w:rsidR="007E2B77" w:rsidRPr="00470480" w:rsidRDefault="007E2B77" w:rsidP="007E2B77">
      <w:pPr>
        <w:spacing w:after="0"/>
        <w:jc w:val="both"/>
        <w:rPr>
          <w:rFonts w:ascii="Arial" w:hAnsi="Arial" w:cs="Arial"/>
          <w:b/>
          <w:bCs/>
          <w:color w:val="000000"/>
          <w:sz w:val="20"/>
          <w:szCs w:val="20"/>
        </w:rPr>
      </w:pP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RBI/2021-22/189</w:t>
      </w:r>
      <w:r w:rsidRPr="00470480">
        <w:rPr>
          <w:rFonts w:ascii="Arial" w:hAnsi="Arial" w:cs="Arial"/>
          <w:color w:val="000000"/>
          <w:sz w:val="20"/>
          <w:szCs w:val="20"/>
        </w:rPr>
        <w:br/>
        <w:t>DOR.CAP.REC.No.97/21.06.201/2021-22</w:t>
      </w:r>
    </w:p>
    <w:p w:rsidR="007E2B77" w:rsidRPr="00470480" w:rsidRDefault="007E2B77" w:rsidP="007E2B77">
      <w:pPr>
        <w:pStyle w:val="NormalWeb"/>
        <w:jc w:val="right"/>
        <w:rPr>
          <w:rFonts w:ascii="Arial" w:hAnsi="Arial" w:cs="Arial"/>
          <w:color w:val="000000"/>
          <w:sz w:val="20"/>
          <w:szCs w:val="20"/>
        </w:rPr>
      </w:pPr>
      <w:r w:rsidRPr="00470480">
        <w:rPr>
          <w:rFonts w:ascii="Arial" w:hAnsi="Arial" w:cs="Arial"/>
          <w:color w:val="000000"/>
          <w:sz w:val="20"/>
          <w:szCs w:val="20"/>
        </w:rPr>
        <w:t>March 31, 2022</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Dear Sir/ Madam,</w:t>
      </w:r>
    </w:p>
    <w:p w:rsidR="007E2B77" w:rsidRPr="00470480" w:rsidRDefault="007E2B77" w:rsidP="007E2B77">
      <w:pPr>
        <w:pStyle w:val="head"/>
        <w:jc w:val="both"/>
        <w:rPr>
          <w:rFonts w:ascii="Arial" w:hAnsi="Arial" w:cs="Arial"/>
          <w:b/>
          <w:bCs/>
          <w:color w:val="000000"/>
          <w:sz w:val="20"/>
          <w:szCs w:val="20"/>
        </w:rPr>
      </w:pPr>
      <w:r w:rsidRPr="00470480">
        <w:rPr>
          <w:rFonts w:ascii="Arial" w:hAnsi="Arial" w:cs="Arial"/>
          <w:b/>
          <w:bCs/>
          <w:color w:val="000000"/>
          <w:sz w:val="20"/>
          <w:szCs w:val="20"/>
        </w:rPr>
        <w:t>Bilateral Netting of Qualified Financial Contracts - Amendments to Prudential Guidelines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The Bilateral Netting of Qualified Financial Contracts Act, 2020 (hereafter referred to as “the Act”), has been notified by the Government of India vide Gazette Notification No. S.O. 3463(E) dated October 1, 2020. The Act provides a legal framework for enforceability of bilateral netting of qualified financial contracts (QFC).</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2. In exercise of the powers conferred by section 4(a) of the Act, the Reserve Bank, vide Notification no. FMRD.DIRD.2/14.03.043/2020-21 dated March 9, 2021, has since notified (a) “derivatives”; and (b) “repo” and “reverse repo” transactions as defined under Section 45(U) of Chapter III-D of the Reserve Bank of India Act, 1934 as a QFC.</w:t>
      </w:r>
    </w:p>
    <w:p w:rsidR="007E2B77" w:rsidRDefault="007E2B77" w:rsidP="007E2B77">
      <w:pPr>
        <w:spacing w:after="0"/>
        <w:jc w:val="both"/>
        <w:rPr>
          <w:rFonts w:ascii="Arial" w:hAnsi="Arial" w:cs="Arial"/>
          <w:sz w:val="20"/>
          <w:szCs w:val="20"/>
        </w:rPr>
      </w:pPr>
    </w:p>
    <w:p w:rsidR="007E2B77" w:rsidRDefault="007E2B77" w:rsidP="007E2B77">
      <w:pPr>
        <w:spacing w:after="0"/>
        <w:jc w:val="both"/>
        <w:rPr>
          <w:rFonts w:ascii="Arial" w:hAnsi="Arial" w:cs="Arial"/>
          <w:sz w:val="20"/>
          <w:szCs w:val="20"/>
        </w:rPr>
      </w:pPr>
      <w:r>
        <w:rPr>
          <w:rFonts w:ascii="Arial" w:hAnsi="Arial" w:cs="Arial"/>
          <w:sz w:val="20"/>
          <w:szCs w:val="20"/>
        </w:rPr>
        <w:t>For more details, the reference link is provided below.</w:t>
      </w:r>
    </w:p>
    <w:p w:rsidR="007E2B77" w:rsidRPr="00470480" w:rsidRDefault="007E2B77" w:rsidP="007E2B77">
      <w:pPr>
        <w:spacing w:after="0"/>
        <w:jc w:val="both"/>
        <w:rPr>
          <w:rFonts w:ascii="Arial" w:hAnsi="Arial" w:cs="Arial"/>
          <w:sz w:val="20"/>
          <w:szCs w:val="20"/>
        </w:rPr>
      </w:pPr>
      <w:r w:rsidRPr="00470480">
        <w:rPr>
          <w:rFonts w:ascii="Arial" w:hAnsi="Arial" w:cs="Arial"/>
          <w:sz w:val="20"/>
          <w:szCs w:val="20"/>
        </w:rPr>
        <w:t xml:space="preserve">Reference Link: </w:t>
      </w:r>
      <w:hyperlink r:id="rId59" w:history="1">
        <w:r w:rsidRPr="00470480">
          <w:rPr>
            <w:rStyle w:val="Hyperlink"/>
            <w:rFonts w:ascii="Arial" w:hAnsi="Arial" w:cs="Arial"/>
            <w:sz w:val="20"/>
            <w:szCs w:val="20"/>
          </w:rPr>
          <w:t>https://www.rbi.org.in/Scripts/NotificationUser.aspx?Id=12262&amp;Mode=0</w:t>
        </w:r>
      </w:hyperlink>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Default="007E2B77">
      <w:r>
        <w:br w:type="page"/>
      </w:r>
    </w:p>
    <w:p w:rsidR="007E2B77" w:rsidRPr="00470480" w:rsidRDefault="007E2B77" w:rsidP="007E2B77">
      <w:pPr>
        <w:spacing w:after="0"/>
        <w:jc w:val="both"/>
        <w:rPr>
          <w:rFonts w:ascii="Arial" w:hAnsi="Arial" w:cs="Arial"/>
          <w:b/>
          <w:bCs/>
          <w:color w:val="000000"/>
          <w:sz w:val="20"/>
          <w:szCs w:val="20"/>
        </w:rPr>
      </w:pPr>
      <w:r w:rsidRPr="00470480">
        <w:rPr>
          <w:rFonts w:ascii="Arial" w:hAnsi="Arial" w:cs="Arial"/>
          <w:b/>
          <w:bCs/>
          <w:color w:val="000000"/>
          <w:sz w:val="20"/>
          <w:szCs w:val="20"/>
        </w:rPr>
        <w:lastRenderedPageBreak/>
        <w:t>Master Direction – Reserve Bank of India (Regulatory Framework for Microfinance Loans) Directions, 2022</w:t>
      </w:r>
    </w:p>
    <w:p w:rsidR="007E2B77" w:rsidRPr="00470480" w:rsidRDefault="007E2B77" w:rsidP="007E2B77">
      <w:pPr>
        <w:spacing w:after="0"/>
        <w:jc w:val="both"/>
        <w:rPr>
          <w:rFonts w:ascii="Arial" w:hAnsi="Arial" w:cs="Arial"/>
          <w:b/>
          <w:bCs/>
          <w:color w:val="000000"/>
          <w:sz w:val="20"/>
          <w:szCs w:val="20"/>
        </w:rPr>
      </w:pP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RBI/DOR/2021-22/89</w:t>
      </w:r>
      <w:r w:rsidRPr="00470480">
        <w:rPr>
          <w:rFonts w:ascii="Arial" w:hAnsi="Arial" w:cs="Arial"/>
          <w:color w:val="000000"/>
          <w:sz w:val="20"/>
          <w:szCs w:val="20"/>
        </w:rPr>
        <w:br/>
        <w:t>DoR.FIN.REC.95/03.10.038/2021-22</w:t>
      </w:r>
    </w:p>
    <w:p w:rsidR="007E2B77" w:rsidRPr="00470480" w:rsidRDefault="007E2B77" w:rsidP="007E2B77">
      <w:pPr>
        <w:pStyle w:val="NormalWeb"/>
        <w:jc w:val="right"/>
        <w:rPr>
          <w:rFonts w:ascii="Arial" w:hAnsi="Arial" w:cs="Arial"/>
          <w:color w:val="000000"/>
          <w:sz w:val="20"/>
          <w:szCs w:val="20"/>
        </w:rPr>
      </w:pPr>
      <w:r w:rsidRPr="00470480">
        <w:rPr>
          <w:rFonts w:ascii="Arial" w:hAnsi="Arial" w:cs="Arial"/>
          <w:color w:val="000000"/>
          <w:sz w:val="20"/>
          <w:szCs w:val="20"/>
        </w:rPr>
        <w:t>March 14, 2022</w:t>
      </w:r>
    </w:p>
    <w:p w:rsidR="007E2B77" w:rsidRPr="00470480" w:rsidRDefault="007E2B77" w:rsidP="007E2B77">
      <w:pPr>
        <w:pStyle w:val="NormalWeb"/>
        <w:rPr>
          <w:rFonts w:ascii="Arial" w:hAnsi="Arial" w:cs="Arial"/>
          <w:color w:val="000000"/>
          <w:sz w:val="20"/>
          <w:szCs w:val="20"/>
        </w:rPr>
      </w:pPr>
      <w:r w:rsidRPr="00470480">
        <w:rPr>
          <w:rFonts w:ascii="Arial" w:hAnsi="Arial" w:cs="Arial"/>
          <w:color w:val="000000"/>
          <w:sz w:val="20"/>
          <w:szCs w:val="20"/>
        </w:rPr>
        <w:t>All Commercial Banks (including Small Finance Banks,</w:t>
      </w:r>
      <w:r w:rsidRPr="00470480">
        <w:rPr>
          <w:rFonts w:ascii="Arial" w:hAnsi="Arial" w:cs="Arial"/>
          <w:color w:val="000000"/>
          <w:sz w:val="20"/>
          <w:szCs w:val="20"/>
        </w:rPr>
        <w:br/>
        <w:t>Local Area Banks and Regional Rural Banks) excluding Payments Banks</w:t>
      </w:r>
      <w:r w:rsidRPr="00470480">
        <w:rPr>
          <w:rFonts w:ascii="Arial" w:hAnsi="Arial" w:cs="Arial"/>
          <w:color w:val="000000"/>
          <w:sz w:val="20"/>
          <w:szCs w:val="20"/>
        </w:rPr>
        <w:br/>
        <w:t>All Primary (Urban) Co-operative Banks/ State Co-operative Banks/</w:t>
      </w:r>
      <w:r w:rsidRPr="00470480">
        <w:rPr>
          <w:rFonts w:ascii="Arial" w:hAnsi="Arial" w:cs="Arial"/>
          <w:color w:val="000000"/>
          <w:sz w:val="20"/>
          <w:szCs w:val="20"/>
        </w:rPr>
        <w:br/>
        <w:t>District Central Co-operative Banks</w:t>
      </w:r>
      <w:r w:rsidRPr="00470480">
        <w:rPr>
          <w:rFonts w:ascii="Arial" w:hAnsi="Arial" w:cs="Arial"/>
          <w:color w:val="000000"/>
          <w:sz w:val="20"/>
          <w:szCs w:val="20"/>
        </w:rPr>
        <w:br/>
        <w:t>All Non-Banking Financial Companies (including Microfinance Institutions</w:t>
      </w:r>
      <w:r w:rsidRPr="00470480">
        <w:rPr>
          <w:rFonts w:ascii="Arial" w:hAnsi="Arial" w:cs="Arial"/>
          <w:color w:val="000000"/>
          <w:sz w:val="20"/>
          <w:szCs w:val="20"/>
        </w:rPr>
        <w:br/>
        <w:t>and Housing Finance Companies)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Madam/ Dear Sir,</w:t>
      </w:r>
    </w:p>
    <w:p w:rsidR="007E2B77" w:rsidRPr="00470480" w:rsidRDefault="007E2B77" w:rsidP="007E2B77">
      <w:pPr>
        <w:pStyle w:val="head"/>
        <w:jc w:val="both"/>
        <w:rPr>
          <w:rFonts w:ascii="Arial" w:hAnsi="Arial" w:cs="Arial"/>
          <w:b/>
          <w:bCs/>
          <w:color w:val="000000"/>
          <w:sz w:val="20"/>
          <w:szCs w:val="20"/>
        </w:rPr>
      </w:pPr>
      <w:r w:rsidRPr="00470480">
        <w:rPr>
          <w:rFonts w:ascii="Arial" w:hAnsi="Arial" w:cs="Arial"/>
          <w:b/>
          <w:bCs/>
          <w:color w:val="000000"/>
          <w:sz w:val="20"/>
          <w:szCs w:val="20"/>
        </w:rPr>
        <w:t>Master Direction – Reserve Bank of India (Regulatory Framework for Microfinance Loans) Directions, 2022</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Please refer to paragraph 8 of the </w:t>
      </w:r>
      <w:hyperlink r:id="rId60" w:tgtFrame="_blank" w:history="1">
        <w:r w:rsidRPr="00470480">
          <w:rPr>
            <w:rStyle w:val="Hyperlink"/>
            <w:rFonts w:ascii="Arial" w:hAnsi="Arial" w:cs="Arial"/>
            <w:sz w:val="20"/>
            <w:szCs w:val="20"/>
          </w:rPr>
          <w:t>Statement on Developmental and Regulatory Policies</w:t>
        </w:r>
      </w:hyperlink>
      <w:r w:rsidRPr="00470480">
        <w:rPr>
          <w:rFonts w:ascii="Arial" w:hAnsi="Arial" w:cs="Arial"/>
          <w:color w:val="000000"/>
          <w:sz w:val="20"/>
          <w:szCs w:val="20"/>
        </w:rPr>
        <w:t> announced as a part of the </w:t>
      </w:r>
      <w:hyperlink r:id="rId61" w:tgtFrame="_blank" w:history="1">
        <w:r w:rsidRPr="00470480">
          <w:rPr>
            <w:rStyle w:val="Hyperlink"/>
            <w:rFonts w:ascii="Arial" w:hAnsi="Arial" w:cs="Arial"/>
            <w:sz w:val="20"/>
            <w:szCs w:val="20"/>
          </w:rPr>
          <w:t>Bi-monthly Monetary Policy Statement for 2020-21 dated February 5, 2021</w:t>
        </w:r>
      </w:hyperlink>
      <w:r w:rsidRPr="00470480">
        <w:rPr>
          <w:rFonts w:ascii="Arial" w:hAnsi="Arial" w:cs="Arial"/>
          <w:color w:val="000000"/>
          <w:sz w:val="20"/>
          <w:szCs w:val="20"/>
        </w:rPr>
        <w:t>, regarding review of the regulatory framework for microfinance.</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2. A consultative document on regulation of microfinance loans was issued for public comments on </w:t>
      </w:r>
      <w:hyperlink r:id="rId62" w:tgtFrame="_blank" w:history="1">
        <w:r w:rsidRPr="00470480">
          <w:rPr>
            <w:rStyle w:val="Hyperlink"/>
            <w:rFonts w:ascii="Arial" w:hAnsi="Arial" w:cs="Arial"/>
            <w:sz w:val="20"/>
            <w:szCs w:val="20"/>
          </w:rPr>
          <w:t>June 14, 2021</w:t>
        </w:r>
      </w:hyperlink>
      <w:r w:rsidRPr="00470480">
        <w:rPr>
          <w:rFonts w:ascii="Arial" w:hAnsi="Arial" w:cs="Arial"/>
          <w:color w:val="000000"/>
          <w:sz w:val="20"/>
          <w:szCs w:val="20"/>
        </w:rPr>
        <w:t>. Based on the feedback received, it has now been decided to put in place the directions for microfinance loans which are </w:t>
      </w:r>
      <w:hyperlink r:id="rId63" w:anchor="MD" w:history="1">
        <w:r w:rsidRPr="00470480">
          <w:rPr>
            <w:rStyle w:val="Hyperlink"/>
            <w:rFonts w:ascii="Arial" w:hAnsi="Arial" w:cs="Arial"/>
            <w:sz w:val="20"/>
            <w:szCs w:val="20"/>
          </w:rPr>
          <w:t>enclosed</w:t>
        </w:r>
      </w:hyperlink>
      <w:r w:rsidRPr="00470480">
        <w:rPr>
          <w:rFonts w:ascii="Arial" w:hAnsi="Arial" w:cs="Arial"/>
          <w:color w:val="000000"/>
          <w:sz w:val="20"/>
          <w:szCs w:val="20"/>
        </w:rPr>
        <w:t>.</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7E2B77" w:rsidRPr="00470480" w:rsidRDefault="007E2B77" w:rsidP="007E2B77">
      <w:pPr>
        <w:pStyle w:val="NormalWeb"/>
        <w:rPr>
          <w:rFonts w:ascii="Arial" w:hAnsi="Arial" w:cs="Arial"/>
          <w:color w:val="000000"/>
          <w:sz w:val="20"/>
          <w:szCs w:val="20"/>
        </w:rPr>
      </w:pPr>
      <w:r w:rsidRPr="00470480">
        <w:rPr>
          <w:rFonts w:ascii="Arial" w:hAnsi="Arial" w:cs="Arial"/>
          <w:color w:val="000000"/>
          <w:sz w:val="20"/>
          <w:szCs w:val="20"/>
        </w:rPr>
        <w:t>(J.P. Sharma)</w:t>
      </w:r>
      <w:r w:rsidRPr="00470480">
        <w:rPr>
          <w:rFonts w:ascii="Arial" w:hAnsi="Arial" w:cs="Arial"/>
          <w:color w:val="000000"/>
          <w:sz w:val="20"/>
          <w:szCs w:val="20"/>
        </w:rPr>
        <w:br/>
        <w:t>Chief General Manager</w:t>
      </w:r>
    </w:p>
    <w:p w:rsidR="007E2B77" w:rsidRDefault="007E2B77" w:rsidP="007E2B77">
      <w:pPr>
        <w:pStyle w:val="NormalWeb"/>
        <w:jc w:val="both"/>
        <w:rPr>
          <w:rFonts w:ascii="Arial" w:hAnsi="Arial" w:cs="Arial"/>
          <w:color w:val="000000"/>
          <w:sz w:val="20"/>
          <w:szCs w:val="20"/>
        </w:rPr>
      </w:pPr>
    </w:p>
    <w:p w:rsidR="007E2B77" w:rsidRDefault="007E2B77" w:rsidP="007E2B77">
      <w:pPr>
        <w:pStyle w:val="NormalWeb"/>
        <w:spacing w:before="0" w:beforeAutospacing="0" w:after="0" w:afterAutospacing="0"/>
        <w:jc w:val="both"/>
        <w:rPr>
          <w:rFonts w:ascii="Arial" w:hAnsi="Arial" w:cs="Arial"/>
          <w:color w:val="000000"/>
          <w:sz w:val="20"/>
          <w:szCs w:val="20"/>
        </w:rPr>
      </w:pPr>
    </w:p>
    <w:p w:rsidR="007E2B77" w:rsidRPr="00470480" w:rsidRDefault="007E2B77" w:rsidP="007E2B77">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For the detailed Master Circular, refer to the link below.</w:t>
      </w:r>
    </w:p>
    <w:p w:rsidR="007E2B77" w:rsidRPr="00470480" w:rsidRDefault="007E2B77" w:rsidP="007E2B77">
      <w:pPr>
        <w:pStyle w:val="NormalWeb"/>
        <w:spacing w:before="0" w:beforeAutospacing="0" w:after="0" w:afterAutospacing="0"/>
        <w:rPr>
          <w:rFonts w:ascii="Arial" w:hAnsi="Arial" w:cs="Arial"/>
          <w:color w:val="000000"/>
          <w:sz w:val="20"/>
          <w:szCs w:val="20"/>
        </w:rPr>
      </w:pPr>
      <w:r w:rsidRPr="00470480">
        <w:rPr>
          <w:rFonts w:ascii="Arial" w:hAnsi="Arial" w:cs="Arial"/>
          <w:color w:val="000000"/>
          <w:sz w:val="20"/>
          <w:szCs w:val="20"/>
        </w:rPr>
        <w:t xml:space="preserve">Reference Link: </w:t>
      </w:r>
      <w:hyperlink r:id="rId64" w:history="1">
        <w:r w:rsidRPr="00470480">
          <w:rPr>
            <w:rStyle w:val="Hyperlink"/>
            <w:rFonts w:ascii="Arial" w:hAnsi="Arial" w:cs="Arial"/>
            <w:sz w:val="20"/>
            <w:szCs w:val="20"/>
          </w:rPr>
          <w:t>https://www.rbi.org.in/Scripts/NotificationUser.aspx?Id=12256&amp;Mode=0</w:t>
        </w:r>
      </w:hyperlink>
    </w:p>
    <w:p w:rsidR="007E2B77" w:rsidRPr="00470480" w:rsidRDefault="007E2B77" w:rsidP="007E2B77">
      <w:pPr>
        <w:pStyle w:val="NormalWeb"/>
        <w:rPr>
          <w:rFonts w:ascii="Arial" w:hAnsi="Arial" w:cs="Arial"/>
          <w:color w:val="000000"/>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Pr="00470480" w:rsidRDefault="007E2B77" w:rsidP="007E2B77">
      <w:pPr>
        <w:spacing w:after="0"/>
        <w:jc w:val="both"/>
        <w:rPr>
          <w:rFonts w:ascii="Arial" w:hAnsi="Arial" w:cs="Arial"/>
          <w:sz w:val="20"/>
          <w:szCs w:val="20"/>
        </w:rPr>
      </w:pPr>
    </w:p>
    <w:p w:rsidR="007E2B77" w:rsidRDefault="007E2B77">
      <w:r>
        <w:br w:type="page"/>
      </w:r>
    </w:p>
    <w:p w:rsidR="007E2B77" w:rsidRDefault="007E2B77" w:rsidP="007E2B77">
      <w:pPr>
        <w:spacing w:after="0"/>
        <w:jc w:val="both"/>
        <w:rPr>
          <w:rFonts w:ascii="Arial" w:hAnsi="Arial" w:cs="Arial"/>
          <w:b/>
          <w:bCs/>
          <w:color w:val="000000"/>
          <w:sz w:val="20"/>
          <w:szCs w:val="20"/>
        </w:rPr>
      </w:pPr>
    </w:p>
    <w:p w:rsidR="007E2B77" w:rsidRPr="00470480" w:rsidRDefault="007E2B77" w:rsidP="007E2B77">
      <w:pPr>
        <w:spacing w:after="0"/>
        <w:jc w:val="both"/>
        <w:rPr>
          <w:rFonts w:ascii="Arial" w:hAnsi="Arial" w:cs="Arial"/>
          <w:b/>
          <w:bCs/>
          <w:color w:val="000000"/>
          <w:sz w:val="20"/>
          <w:szCs w:val="20"/>
        </w:rPr>
      </w:pPr>
      <w:r w:rsidRPr="00470480">
        <w:rPr>
          <w:rFonts w:ascii="Arial" w:hAnsi="Arial" w:cs="Arial"/>
          <w:b/>
          <w:bCs/>
          <w:color w:val="000000"/>
          <w:sz w:val="20"/>
          <w:szCs w:val="20"/>
        </w:rPr>
        <w:t>Implementation of ‘Core Financial Services Solution’ by Non-Banking Financial Companies (NBFCs)</w:t>
      </w:r>
    </w:p>
    <w:p w:rsidR="007E2B77" w:rsidRPr="00470480" w:rsidRDefault="007E2B77" w:rsidP="007E2B77">
      <w:pPr>
        <w:spacing w:after="0"/>
        <w:jc w:val="both"/>
        <w:rPr>
          <w:rFonts w:ascii="Arial" w:hAnsi="Arial" w:cs="Arial"/>
          <w:b/>
          <w:bCs/>
          <w:color w:val="000000"/>
          <w:sz w:val="20"/>
          <w:szCs w:val="20"/>
        </w:rPr>
      </w:pPr>
    </w:p>
    <w:p w:rsidR="007E2B77" w:rsidRDefault="007E2B77" w:rsidP="007E2B77">
      <w:pPr>
        <w:pStyle w:val="NormalWeb"/>
        <w:rPr>
          <w:rFonts w:ascii="Arial" w:hAnsi="Arial" w:cs="Arial"/>
          <w:color w:val="000000"/>
          <w:sz w:val="20"/>
          <w:szCs w:val="20"/>
        </w:rPr>
      </w:pPr>
    </w:p>
    <w:p w:rsidR="007E2B77" w:rsidRPr="00470480" w:rsidRDefault="007E2B77" w:rsidP="007E2B77">
      <w:pPr>
        <w:pStyle w:val="NormalWeb"/>
        <w:rPr>
          <w:rFonts w:ascii="Arial" w:hAnsi="Arial" w:cs="Arial"/>
          <w:color w:val="000000"/>
          <w:sz w:val="20"/>
          <w:szCs w:val="20"/>
        </w:rPr>
      </w:pPr>
      <w:r w:rsidRPr="00470480">
        <w:rPr>
          <w:rFonts w:ascii="Arial" w:hAnsi="Arial" w:cs="Arial"/>
          <w:color w:val="000000"/>
          <w:sz w:val="20"/>
          <w:szCs w:val="20"/>
        </w:rPr>
        <w:t>RBI/2021-22/175</w:t>
      </w:r>
      <w:r w:rsidRPr="00470480">
        <w:rPr>
          <w:rFonts w:ascii="Arial" w:hAnsi="Arial" w:cs="Arial"/>
          <w:color w:val="000000"/>
          <w:sz w:val="20"/>
          <w:szCs w:val="20"/>
        </w:rPr>
        <w:br/>
      </w:r>
      <w:proofErr w:type="spellStart"/>
      <w:r w:rsidRPr="00470480">
        <w:rPr>
          <w:rFonts w:ascii="Arial" w:hAnsi="Arial" w:cs="Arial"/>
          <w:color w:val="000000"/>
          <w:sz w:val="20"/>
          <w:szCs w:val="20"/>
        </w:rPr>
        <w:t>DoS.CO.PPG.SEC</w:t>
      </w:r>
      <w:proofErr w:type="spellEnd"/>
      <w:r w:rsidRPr="00470480">
        <w:rPr>
          <w:rFonts w:ascii="Arial" w:hAnsi="Arial" w:cs="Arial"/>
          <w:color w:val="000000"/>
          <w:sz w:val="20"/>
          <w:szCs w:val="20"/>
        </w:rPr>
        <w:t>/10/11.01.005/2021-22</w:t>
      </w:r>
    </w:p>
    <w:p w:rsidR="007E2B77" w:rsidRPr="00470480" w:rsidRDefault="007E2B77" w:rsidP="007E2B77">
      <w:pPr>
        <w:pStyle w:val="NormalWeb"/>
        <w:jc w:val="right"/>
        <w:rPr>
          <w:rFonts w:ascii="Arial" w:hAnsi="Arial" w:cs="Arial"/>
          <w:color w:val="000000"/>
          <w:sz w:val="20"/>
          <w:szCs w:val="20"/>
        </w:rPr>
      </w:pPr>
      <w:r w:rsidRPr="00470480">
        <w:rPr>
          <w:rFonts w:ascii="Arial" w:hAnsi="Arial" w:cs="Arial"/>
          <w:color w:val="000000"/>
          <w:sz w:val="20"/>
          <w:szCs w:val="20"/>
        </w:rPr>
        <w:t>February 23, 2022</w:t>
      </w:r>
    </w:p>
    <w:p w:rsidR="007E2B77" w:rsidRPr="00470480" w:rsidRDefault="007E2B77" w:rsidP="007E2B77">
      <w:pPr>
        <w:pStyle w:val="NormalWeb"/>
        <w:rPr>
          <w:rFonts w:ascii="Arial" w:hAnsi="Arial" w:cs="Arial"/>
          <w:color w:val="000000"/>
          <w:sz w:val="20"/>
          <w:szCs w:val="20"/>
        </w:rPr>
      </w:pPr>
      <w:r w:rsidRPr="00470480">
        <w:rPr>
          <w:rFonts w:ascii="Arial" w:hAnsi="Arial" w:cs="Arial"/>
          <w:color w:val="000000"/>
          <w:sz w:val="20"/>
          <w:szCs w:val="20"/>
        </w:rPr>
        <w:t>All Non-Banking Financial Companies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7E2B77" w:rsidRPr="00470480" w:rsidRDefault="007E2B77" w:rsidP="007E2B77">
      <w:pPr>
        <w:pStyle w:val="head"/>
        <w:jc w:val="both"/>
        <w:rPr>
          <w:rFonts w:ascii="Arial" w:hAnsi="Arial" w:cs="Arial"/>
          <w:b/>
          <w:bCs/>
          <w:color w:val="000000"/>
          <w:sz w:val="20"/>
          <w:szCs w:val="20"/>
        </w:rPr>
      </w:pPr>
      <w:r w:rsidRPr="00470480">
        <w:rPr>
          <w:rFonts w:ascii="Arial" w:hAnsi="Arial" w:cs="Arial"/>
          <w:b/>
          <w:bCs/>
          <w:color w:val="000000"/>
          <w:sz w:val="20"/>
          <w:szCs w:val="20"/>
        </w:rPr>
        <w:t>Implementation of ‘Core Financial Services Solution’ by Non-Banking Financial Companies (NBFCs)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A reference is invited to para 3.2.3 (j) of the </w:t>
      </w:r>
      <w:hyperlink r:id="rId65" w:tgtFrame="_blank" w:history="1">
        <w:r w:rsidRPr="00470480">
          <w:rPr>
            <w:rStyle w:val="Hyperlink"/>
            <w:rFonts w:ascii="Arial" w:hAnsi="Arial" w:cs="Arial"/>
            <w:sz w:val="20"/>
            <w:szCs w:val="20"/>
          </w:rPr>
          <w:t>Reserve Bank’s Circular Ref. DOR.CRE.REC.No.60/03.10.001/2021-22 dated October 22, 2021</w:t>
        </w:r>
      </w:hyperlink>
      <w:r w:rsidRPr="00470480">
        <w:rPr>
          <w:rFonts w:ascii="Arial" w:hAnsi="Arial" w:cs="Arial"/>
          <w:color w:val="000000"/>
          <w:sz w:val="20"/>
          <w:szCs w:val="20"/>
        </w:rPr>
        <w:t> on ‘Scale Based Regulation (SBR): A Revised Regulatory Framework for NBFCs’ in terms of which NBFCs with 10 and more branches are mandated to adopt Core Banking Solution.</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2. Accordingly, it has been decided that NBFCs – Middle Layer and NBFCs - Upper Layer with 10 and more ’Fixed point service delivery units’</w:t>
      </w:r>
      <w:hyperlink r:id="rId66" w:anchor="F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 as on October 1, 2022 shall be mandatorily required to implement ‘Core Financial Services Solution (CFSS)’, akin to the Core Banking Solution (CBS) adopted by banks. The CFSS shall provide for seamless customer interface in digital offerings and transactions relating to products and services with anywhere / anytime facility, enable integration of NBFCs’ functions, provide centralised database and accounting records, and be able to generate suitable MIS, both for internal purposes and regulatory reporting.</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3. The timeframe for implementation of the requirement as indicated in Para 2 above shall be as under:</w:t>
      </w:r>
    </w:p>
    <w:tbl>
      <w:tblPr>
        <w:tblW w:w="4250" w:type="pct"/>
        <w:jc w:val="center"/>
        <w:tblBorders>
          <w:top w:val="single" w:sz="6" w:space="0" w:color="auto"/>
          <w:left w:val="single" w:sz="6" w:space="0" w:color="auto"/>
          <w:bottom w:val="single" w:sz="6" w:space="0" w:color="auto"/>
          <w:right w:val="single" w:sz="6" w:space="0" w:color="auto"/>
        </w:tblBorders>
        <w:tblCellMar>
          <w:left w:w="0" w:type="dxa"/>
          <w:right w:w="0" w:type="dxa"/>
        </w:tblCellMar>
        <w:tblLook w:val="04A0" w:firstRow="1" w:lastRow="0" w:firstColumn="1" w:lastColumn="0" w:noHBand="0" w:noVBand="1"/>
      </w:tblPr>
      <w:tblGrid>
        <w:gridCol w:w="3124"/>
        <w:gridCol w:w="4535"/>
      </w:tblGrid>
      <w:tr w:rsidR="007E2B77" w:rsidRPr="00470480" w:rsidTr="0040335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7E2B77" w:rsidRPr="00470480" w:rsidRDefault="007E2B77" w:rsidP="00403352">
            <w:pPr>
              <w:jc w:val="center"/>
              <w:rPr>
                <w:rFonts w:ascii="Arial" w:hAnsi="Arial" w:cs="Arial"/>
                <w:b/>
                <w:bCs/>
                <w:color w:val="000000"/>
                <w:sz w:val="20"/>
                <w:szCs w:val="20"/>
              </w:rPr>
            </w:pPr>
            <w:r w:rsidRPr="00470480">
              <w:rPr>
                <w:rFonts w:ascii="Arial" w:hAnsi="Arial" w:cs="Arial"/>
                <w:b/>
                <w:bCs/>
                <w:color w:val="000000"/>
                <w:sz w:val="20"/>
                <w:szCs w:val="20"/>
              </w:rPr>
              <w:t>Category of NBFC</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7E2B77" w:rsidRPr="00470480" w:rsidRDefault="007E2B77" w:rsidP="00403352">
            <w:pPr>
              <w:jc w:val="center"/>
              <w:rPr>
                <w:rFonts w:ascii="Arial" w:hAnsi="Arial" w:cs="Arial"/>
                <w:b/>
                <w:bCs/>
                <w:color w:val="000000"/>
                <w:sz w:val="20"/>
                <w:szCs w:val="20"/>
              </w:rPr>
            </w:pPr>
            <w:r w:rsidRPr="00470480">
              <w:rPr>
                <w:rFonts w:ascii="Arial" w:hAnsi="Arial" w:cs="Arial"/>
                <w:b/>
                <w:bCs/>
                <w:color w:val="000000"/>
                <w:sz w:val="20"/>
                <w:szCs w:val="20"/>
              </w:rPr>
              <w:t>Timeframe for implementation</w:t>
            </w:r>
          </w:p>
        </w:tc>
      </w:tr>
      <w:tr w:rsidR="007E2B77" w:rsidRPr="00470480" w:rsidTr="0040335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7E2B77" w:rsidRPr="00470480" w:rsidRDefault="007E2B77" w:rsidP="00403352">
            <w:pPr>
              <w:jc w:val="both"/>
              <w:rPr>
                <w:rFonts w:ascii="Arial" w:hAnsi="Arial" w:cs="Arial"/>
                <w:color w:val="000000"/>
                <w:sz w:val="20"/>
                <w:szCs w:val="20"/>
              </w:rPr>
            </w:pPr>
            <w:r w:rsidRPr="00470480">
              <w:rPr>
                <w:rFonts w:ascii="Arial" w:hAnsi="Arial" w:cs="Arial"/>
                <w:color w:val="000000"/>
                <w:sz w:val="20"/>
                <w:szCs w:val="20"/>
              </w:rPr>
              <w:t>NBFC – Middle and Upper Layers with 10 or more ‘Fixed point service delivery units’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7E2B77" w:rsidRPr="00470480" w:rsidRDefault="007E2B77" w:rsidP="00403352">
            <w:pPr>
              <w:jc w:val="both"/>
              <w:rPr>
                <w:rFonts w:ascii="Arial" w:hAnsi="Arial" w:cs="Arial"/>
                <w:color w:val="000000"/>
                <w:sz w:val="20"/>
                <w:szCs w:val="20"/>
              </w:rPr>
            </w:pPr>
            <w:r w:rsidRPr="00470480">
              <w:rPr>
                <w:rFonts w:ascii="Arial" w:hAnsi="Arial" w:cs="Arial"/>
                <w:color w:val="000000"/>
                <w:sz w:val="20"/>
                <w:szCs w:val="20"/>
              </w:rPr>
              <w:t>On or before September 30, 2025</w:t>
            </w:r>
            <w:r w:rsidRPr="00470480">
              <w:rPr>
                <w:rFonts w:ascii="Arial" w:hAnsi="Arial" w:cs="Arial"/>
                <w:color w:val="000000"/>
                <w:sz w:val="20"/>
                <w:szCs w:val="20"/>
              </w:rPr>
              <w:br/>
            </w:r>
            <w:r w:rsidRPr="00470480">
              <w:rPr>
                <w:rFonts w:ascii="Arial" w:hAnsi="Arial" w:cs="Arial"/>
                <w:color w:val="000000"/>
                <w:sz w:val="20"/>
                <w:szCs w:val="20"/>
              </w:rPr>
              <w:br/>
              <w:t>However, NBFC-UL shall ensure that the CFSS is implemented at least in 70 per cent of ‘Fixed point service delivery units’ on or before September 30, 2024.</w:t>
            </w:r>
          </w:p>
        </w:tc>
      </w:tr>
      <w:tr w:rsidR="007E2B77" w:rsidRPr="00470480" w:rsidTr="00403352">
        <w:trPr>
          <w:jc w:val="center"/>
        </w:trPr>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7E2B77" w:rsidRPr="00470480" w:rsidRDefault="007E2B77" w:rsidP="00403352">
            <w:pPr>
              <w:jc w:val="both"/>
              <w:rPr>
                <w:rFonts w:ascii="Arial" w:hAnsi="Arial" w:cs="Arial"/>
                <w:color w:val="000000"/>
                <w:sz w:val="20"/>
                <w:szCs w:val="20"/>
              </w:rPr>
            </w:pPr>
            <w:r w:rsidRPr="00470480">
              <w:rPr>
                <w:rFonts w:ascii="Arial" w:hAnsi="Arial" w:cs="Arial"/>
                <w:color w:val="000000"/>
                <w:sz w:val="20"/>
                <w:szCs w:val="20"/>
              </w:rPr>
              <w:t>NBFC – Base Layer and NBFC – Middle and Upper Layers with fewer than 10 ’Fixed point service delivery units’</w:t>
            </w:r>
          </w:p>
        </w:tc>
        <w:tc>
          <w:tcPr>
            <w:tcW w:w="0" w:type="auto"/>
            <w:tcBorders>
              <w:top w:val="single" w:sz="6" w:space="0" w:color="EFD1AA"/>
              <w:left w:val="single" w:sz="6" w:space="0" w:color="EFD1AA"/>
              <w:bottom w:val="single" w:sz="6" w:space="0" w:color="EFD1AA"/>
              <w:right w:val="single" w:sz="6" w:space="0" w:color="EFD1AA"/>
            </w:tcBorders>
            <w:tcMar>
              <w:top w:w="0" w:type="dxa"/>
              <w:left w:w="45" w:type="dxa"/>
              <w:bottom w:w="0" w:type="dxa"/>
              <w:right w:w="45" w:type="dxa"/>
            </w:tcMar>
            <w:hideMark/>
          </w:tcPr>
          <w:p w:rsidR="007E2B77" w:rsidRPr="00470480" w:rsidRDefault="007E2B77" w:rsidP="00403352">
            <w:pPr>
              <w:jc w:val="both"/>
              <w:rPr>
                <w:rFonts w:ascii="Arial" w:hAnsi="Arial" w:cs="Arial"/>
                <w:color w:val="000000"/>
                <w:sz w:val="20"/>
                <w:szCs w:val="20"/>
              </w:rPr>
            </w:pPr>
            <w:r w:rsidRPr="00470480">
              <w:rPr>
                <w:rFonts w:ascii="Arial" w:hAnsi="Arial" w:cs="Arial"/>
                <w:color w:val="000000"/>
                <w:sz w:val="20"/>
                <w:szCs w:val="20"/>
              </w:rPr>
              <w:t>Not mandatory. However, they may consider implementation of a Core Financial Services Solution for their own benefit.</w:t>
            </w:r>
          </w:p>
        </w:tc>
      </w:tr>
    </w:tbl>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4. A quarterly progress report on implementation of the Core Financial Services Solution, along with various milestones as approved by the Board / Committee of the Board, shall be furnished by the NBFC to the Senior Supervisory Manager (SSM) Office of Reserve Bank starting from quarter ending March 31, 2023.</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5. This circular is issued under Sections 45L and 45M of Reserve Bank of India Act,1934.</w:t>
      </w:r>
    </w:p>
    <w:p w:rsidR="007E2B77" w:rsidRDefault="007E2B77">
      <w:r>
        <w:br w:type="page"/>
      </w:r>
    </w:p>
    <w:p w:rsidR="007E2B77" w:rsidRPr="00470480" w:rsidRDefault="007E2B77" w:rsidP="007E2B77">
      <w:pPr>
        <w:pStyle w:val="NormalWeb"/>
        <w:rPr>
          <w:rFonts w:ascii="Arial" w:hAnsi="Arial" w:cs="Arial"/>
          <w:color w:val="000000"/>
          <w:sz w:val="20"/>
          <w:szCs w:val="20"/>
        </w:rPr>
      </w:pPr>
    </w:p>
    <w:p w:rsidR="007E2B77" w:rsidRDefault="007E2B77" w:rsidP="007E2B77">
      <w:pPr>
        <w:pStyle w:val="NormalWeb"/>
        <w:rPr>
          <w:rFonts w:ascii="Arial" w:hAnsi="Arial" w:cs="Arial"/>
          <w:color w:val="000000"/>
          <w:sz w:val="20"/>
          <w:szCs w:val="20"/>
        </w:rPr>
      </w:pPr>
    </w:p>
    <w:p w:rsidR="007E2B77" w:rsidRPr="00470480" w:rsidRDefault="007E2B77" w:rsidP="007E2B77">
      <w:pPr>
        <w:pStyle w:val="NormalWeb"/>
        <w:rPr>
          <w:rFonts w:ascii="Arial" w:hAnsi="Arial" w:cs="Arial"/>
          <w:b/>
          <w:bCs/>
          <w:color w:val="000000"/>
          <w:sz w:val="20"/>
          <w:szCs w:val="20"/>
        </w:rPr>
      </w:pPr>
      <w:r w:rsidRPr="00470480">
        <w:rPr>
          <w:rFonts w:ascii="Arial" w:hAnsi="Arial" w:cs="Arial"/>
          <w:b/>
          <w:bCs/>
          <w:color w:val="000000"/>
          <w:sz w:val="20"/>
          <w:szCs w:val="20"/>
        </w:rPr>
        <w:t>Prudential norms on Income Recognition, Asset Classification and Provisioning pertaining to Advances – Clarifications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RBI/2021-2022/158</w:t>
      </w:r>
      <w:r w:rsidRPr="00470480">
        <w:rPr>
          <w:rFonts w:ascii="Arial" w:hAnsi="Arial" w:cs="Arial"/>
          <w:color w:val="000000"/>
          <w:sz w:val="20"/>
          <w:szCs w:val="20"/>
        </w:rPr>
        <w:br/>
        <w:t>DOR.STR.REC.85/21.04.048/2021-22</w:t>
      </w:r>
    </w:p>
    <w:p w:rsidR="007E2B77" w:rsidRPr="00470480" w:rsidRDefault="007E2B77" w:rsidP="007E2B77">
      <w:pPr>
        <w:pStyle w:val="NormalWeb"/>
        <w:jc w:val="right"/>
        <w:rPr>
          <w:rFonts w:ascii="Arial" w:hAnsi="Arial" w:cs="Arial"/>
          <w:color w:val="000000"/>
          <w:sz w:val="20"/>
          <w:szCs w:val="20"/>
        </w:rPr>
      </w:pPr>
      <w:r w:rsidRPr="00470480">
        <w:rPr>
          <w:rFonts w:ascii="Arial" w:hAnsi="Arial" w:cs="Arial"/>
          <w:color w:val="000000"/>
          <w:sz w:val="20"/>
          <w:szCs w:val="20"/>
        </w:rPr>
        <w:t>February 15, 2022</w:t>
      </w:r>
    </w:p>
    <w:p w:rsidR="007E2B77" w:rsidRPr="00470480" w:rsidRDefault="007E2B77" w:rsidP="007E2B77">
      <w:pPr>
        <w:pStyle w:val="NormalWeb"/>
        <w:rPr>
          <w:rFonts w:ascii="Arial" w:hAnsi="Arial" w:cs="Arial"/>
          <w:color w:val="000000"/>
          <w:sz w:val="20"/>
          <w:szCs w:val="20"/>
        </w:rPr>
      </w:pPr>
      <w:r w:rsidRPr="00470480">
        <w:rPr>
          <w:rFonts w:ascii="Arial" w:hAnsi="Arial" w:cs="Arial"/>
          <w:color w:val="000000"/>
          <w:sz w:val="20"/>
          <w:szCs w:val="20"/>
        </w:rPr>
        <w:t>All Commercial Banks (including Small Finance Banks, Local Area Banks and Regional Rural Banks) excluding Payments Banks</w:t>
      </w:r>
      <w:r w:rsidRPr="00470480">
        <w:rPr>
          <w:rFonts w:ascii="Arial" w:hAnsi="Arial" w:cs="Arial"/>
          <w:color w:val="000000"/>
          <w:sz w:val="20"/>
          <w:szCs w:val="20"/>
        </w:rPr>
        <w:br/>
        <w:t>All Primary (Urban) Co-operative Banks/State Co-operative Banks/District Central Co-operative Banks</w:t>
      </w:r>
      <w:r w:rsidRPr="00470480">
        <w:rPr>
          <w:rFonts w:ascii="Arial" w:hAnsi="Arial" w:cs="Arial"/>
          <w:color w:val="000000"/>
          <w:sz w:val="20"/>
          <w:szCs w:val="20"/>
        </w:rPr>
        <w:br/>
        <w:t>All-India Financial Institutions (Exim Bank, NABARD, NHB and SIDBI)</w:t>
      </w:r>
      <w:r w:rsidRPr="00470480">
        <w:rPr>
          <w:rFonts w:ascii="Arial" w:hAnsi="Arial" w:cs="Arial"/>
          <w:color w:val="000000"/>
          <w:sz w:val="20"/>
          <w:szCs w:val="20"/>
        </w:rPr>
        <w:br/>
        <w:t>All Non-Banking Financial Companies (including Housing Finance Companies)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Madam/Dear Sir,</w:t>
      </w:r>
    </w:p>
    <w:p w:rsidR="007E2B77" w:rsidRPr="00470480" w:rsidRDefault="007E2B77" w:rsidP="007E2B77">
      <w:pPr>
        <w:pStyle w:val="head"/>
        <w:jc w:val="both"/>
        <w:rPr>
          <w:rFonts w:ascii="Arial" w:hAnsi="Arial" w:cs="Arial"/>
          <w:b/>
          <w:bCs/>
          <w:color w:val="000000"/>
          <w:sz w:val="20"/>
          <w:szCs w:val="20"/>
        </w:rPr>
      </w:pPr>
      <w:r w:rsidRPr="00470480">
        <w:rPr>
          <w:rFonts w:ascii="Arial" w:hAnsi="Arial" w:cs="Arial"/>
          <w:b/>
          <w:bCs/>
          <w:color w:val="000000"/>
          <w:sz w:val="20"/>
          <w:szCs w:val="20"/>
        </w:rPr>
        <w:t>Prudential norms on Income Recognition, Asset Classification and Provisioning pertaining to Advances – Clarifications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Please refer to the clarifications issued in respect of </w:t>
      </w:r>
      <w:r w:rsidRPr="00470480">
        <w:rPr>
          <w:rStyle w:val="head1"/>
          <w:rFonts w:ascii="Arial" w:hAnsi="Arial" w:cs="Arial"/>
          <w:b/>
          <w:bCs/>
          <w:color w:val="000000"/>
          <w:sz w:val="20"/>
          <w:szCs w:val="20"/>
        </w:rPr>
        <w:t>Prudential norms on Income Recognition, Asset Classification and Provisioning</w:t>
      </w:r>
      <w:r w:rsidRPr="00470480">
        <w:rPr>
          <w:rFonts w:ascii="Arial" w:hAnsi="Arial" w:cs="Arial"/>
          <w:color w:val="000000"/>
          <w:sz w:val="20"/>
          <w:szCs w:val="20"/>
        </w:rPr>
        <w:t> vide </w:t>
      </w:r>
      <w:hyperlink r:id="rId67" w:tgtFrame="_blank" w:history="1">
        <w:r w:rsidRPr="00470480">
          <w:rPr>
            <w:rStyle w:val="Hyperlink"/>
            <w:rFonts w:ascii="Arial" w:hAnsi="Arial" w:cs="Arial"/>
            <w:sz w:val="20"/>
            <w:szCs w:val="20"/>
          </w:rPr>
          <w:t>circular DOR.STR.REC.68/21.04.048/2021-22 dated November 12, 2021</w:t>
        </w:r>
      </w:hyperlink>
      <w:r w:rsidRPr="00470480">
        <w:rPr>
          <w:rFonts w:ascii="Arial" w:hAnsi="Arial" w:cs="Arial"/>
          <w:color w:val="000000"/>
          <w:sz w:val="20"/>
          <w:szCs w:val="20"/>
        </w:rPr>
        <w:t> (‘</w:t>
      </w:r>
      <w:r w:rsidRPr="00470480">
        <w:rPr>
          <w:rStyle w:val="head1"/>
          <w:rFonts w:ascii="Arial" w:hAnsi="Arial" w:cs="Arial"/>
          <w:b/>
          <w:bCs/>
          <w:color w:val="000000"/>
          <w:sz w:val="20"/>
          <w:szCs w:val="20"/>
        </w:rPr>
        <w:t>Circular</w:t>
      </w:r>
      <w:r w:rsidRPr="00470480">
        <w:rPr>
          <w:rFonts w:ascii="Arial" w:hAnsi="Arial" w:cs="Arial"/>
          <w:color w:val="000000"/>
          <w:sz w:val="20"/>
          <w:szCs w:val="20"/>
        </w:rPr>
        <w:t>’).</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2. In view of several queries received seeking certain clarifications, it is advised as under:</w:t>
      </w:r>
    </w:p>
    <w:p w:rsidR="007E2B77" w:rsidRPr="00470480" w:rsidRDefault="007E2B77" w:rsidP="007E2B77">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The definition of ‘out of order’, as clarified in the Circular, shall be applicable to all loan products being offered as an overdraft facility, including those not meant for business purposes and/or which entail interest repayments as the only credits.</w:t>
      </w:r>
    </w:p>
    <w:p w:rsidR="007E2B77" w:rsidRPr="00470480" w:rsidRDefault="007E2B77" w:rsidP="007E2B77">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 xml:space="preserve">The ‘previous 90 </w:t>
      </w:r>
      <w:proofErr w:type="gramStart"/>
      <w:r w:rsidRPr="00470480">
        <w:rPr>
          <w:rFonts w:ascii="Arial" w:hAnsi="Arial" w:cs="Arial"/>
          <w:color w:val="000000"/>
          <w:sz w:val="20"/>
          <w:szCs w:val="20"/>
        </w:rPr>
        <w:t>days</w:t>
      </w:r>
      <w:proofErr w:type="gramEnd"/>
      <w:r w:rsidRPr="00470480">
        <w:rPr>
          <w:rFonts w:ascii="Arial" w:hAnsi="Arial" w:cs="Arial"/>
          <w:color w:val="000000"/>
          <w:sz w:val="20"/>
          <w:szCs w:val="20"/>
        </w:rPr>
        <w:t xml:space="preserve"> period’ for determination of ‘out of order’ status of a CC/OD account shall be inclusive of the day for which the day-end process is being run.</w:t>
      </w:r>
    </w:p>
    <w:p w:rsidR="007E2B77" w:rsidRPr="00470480" w:rsidRDefault="007E2B77" w:rsidP="007E2B77">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In case of borrowers having more than one credit facility from a lending institution, loan accounts shall be upgraded from NPA to standard asset category only upon repayment of entire arrears of interest and principal pertaining to all the credit facilities.</w:t>
      </w:r>
    </w:p>
    <w:p w:rsidR="007E2B77" w:rsidRPr="00470480" w:rsidRDefault="007E2B77" w:rsidP="007E2B77">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The circular does not make any changes to the requirements related to reporting of information to CRILC, which will continue to be governed in terms of extant instructions for respective entities</w:t>
      </w:r>
      <w:hyperlink r:id="rId68" w:anchor="FN1" w:history="1">
        <w:r w:rsidRPr="00470480">
          <w:rPr>
            <w:rStyle w:val="Hyperlink"/>
            <w:rFonts w:ascii="Arial" w:hAnsi="Arial" w:cs="Arial"/>
            <w:sz w:val="20"/>
            <w:szCs w:val="20"/>
            <w:vertAlign w:val="superscript"/>
          </w:rPr>
          <w:t>1</w:t>
        </w:r>
      </w:hyperlink>
      <w:r w:rsidRPr="00470480">
        <w:rPr>
          <w:rFonts w:ascii="Arial" w:hAnsi="Arial" w:cs="Arial"/>
          <w:color w:val="000000"/>
          <w:sz w:val="20"/>
          <w:szCs w:val="20"/>
        </w:rPr>
        <w:t>.</w:t>
      </w:r>
    </w:p>
    <w:p w:rsidR="007E2B77" w:rsidRPr="00470480" w:rsidRDefault="007E2B77" w:rsidP="007E2B77">
      <w:pPr>
        <w:pStyle w:val="NormalWeb"/>
        <w:numPr>
          <w:ilvl w:val="0"/>
          <w:numId w:val="3"/>
        </w:numPr>
        <w:ind w:left="0"/>
        <w:jc w:val="both"/>
        <w:rPr>
          <w:rFonts w:ascii="Arial" w:hAnsi="Arial" w:cs="Arial"/>
          <w:color w:val="000000"/>
          <w:sz w:val="20"/>
          <w:szCs w:val="20"/>
        </w:rPr>
      </w:pPr>
      <w:r w:rsidRPr="00470480">
        <w:rPr>
          <w:rFonts w:ascii="Arial" w:hAnsi="Arial" w:cs="Arial"/>
          <w:color w:val="000000"/>
          <w:sz w:val="20"/>
          <w:szCs w:val="20"/>
        </w:rPr>
        <w:t xml:space="preserve">The circular does not, in any way, interfere with the extant guidelines on implementation of </w:t>
      </w:r>
      <w:proofErr w:type="spellStart"/>
      <w:r w:rsidRPr="00470480">
        <w:rPr>
          <w:rFonts w:ascii="Arial" w:hAnsi="Arial" w:cs="Arial"/>
          <w:color w:val="000000"/>
          <w:sz w:val="20"/>
          <w:szCs w:val="20"/>
        </w:rPr>
        <w:t>Ind</w:t>
      </w:r>
      <w:proofErr w:type="spellEnd"/>
      <w:r w:rsidRPr="00470480">
        <w:rPr>
          <w:rFonts w:ascii="Arial" w:hAnsi="Arial" w:cs="Arial"/>
          <w:color w:val="000000"/>
          <w:sz w:val="20"/>
          <w:szCs w:val="20"/>
        </w:rPr>
        <w:t>-AS by NBFCs.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3. Paragraph 10 of the Circular stipulates that loan accounts classified as NPAs may be upgraded as ‘standard’ asset only if entire arrears of interest and principal are paid by the borrower. NBFCs shall have time till September 30, 2022 to put in place the necessary systems to implement this provision. All other instructions of the Circular shall continue to be applicable as per the timelines specified therein.</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7E2B77" w:rsidRDefault="007E2B77" w:rsidP="007E2B77">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w:t>
      </w:r>
      <w:r>
        <w:rPr>
          <w:rFonts w:ascii="Arial" w:hAnsi="Arial" w:cs="Arial"/>
          <w:color w:val="000000"/>
          <w:sz w:val="20"/>
          <w:szCs w:val="20"/>
        </w:rPr>
        <w:t>n</w:t>
      </w:r>
      <w:proofErr w:type="spellEnd"/>
      <w:r>
        <w:rPr>
          <w:rFonts w:ascii="Arial" w:hAnsi="Arial" w:cs="Arial"/>
          <w:color w:val="000000"/>
          <w:sz w:val="20"/>
          <w:szCs w:val="20"/>
        </w:rPr>
        <w:t xml:space="preserve"> Mishra)</w:t>
      </w:r>
      <w:r>
        <w:rPr>
          <w:rFonts w:ascii="Arial" w:hAnsi="Arial" w:cs="Arial"/>
          <w:color w:val="000000"/>
          <w:sz w:val="20"/>
          <w:szCs w:val="20"/>
        </w:rPr>
        <w:br/>
        <w:t>Chief General Manager</w:t>
      </w:r>
    </w:p>
    <w:p w:rsidR="007E2B77" w:rsidRDefault="007E2B77" w:rsidP="007E2B77">
      <w:pPr>
        <w:pStyle w:val="NormalWeb"/>
        <w:rPr>
          <w:rFonts w:ascii="Arial" w:hAnsi="Arial" w:cs="Arial"/>
          <w:color w:val="000000"/>
          <w:sz w:val="20"/>
          <w:szCs w:val="20"/>
        </w:rPr>
      </w:pPr>
    </w:p>
    <w:p w:rsidR="007E2B77" w:rsidRPr="00470480" w:rsidRDefault="007E2B77" w:rsidP="007E2B77">
      <w:pPr>
        <w:pStyle w:val="NormalWeb"/>
        <w:rPr>
          <w:rFonts w:ascii="Arial" w:hAnsi="Arial" w:cs="Arial"/>
          <w:color w:val="000000"/>
          <w:sz w:val="20"/>
          <w:szCs w:val="20"/>
        </w:rPr>
      </w:pPr>
      <w:r w:rsidRPr="00470480">
        <w:rPr>
          <w:rFonts w:ascii="Arial" w:hAnsi="Arial" w:cs="Arial"/>
          <w:color w:val="000000"/>
          <w:sz w:val="20"/>
          <w:szCs w:val="20"/>
        </w:rPr>
        <w:t xml:space="preserve">Reference Link: </w:t>
      </w:r>
      <w:hyperlink r:id="rId69" w:history="1">
        <w:r w:rsidRPr="00470480">
          <w:rPr>
            <w:rStyle w:val="Hyperlink"/>
            <w:rFonts w:ascii="Arial" w:hAnsi="Arial" w:cs="Arial"/>
            <w:sz w:val="20"/>
            <w:szCs w:val="20"/>
          </w:rPr>
          <w:t>https://www.rbi.org.in/Scripts/NotificationUser.aspx?Id=12230&amp;Mode=0</w:t>
        </w:r>
      </w:hyperlink>
    </w:p>
    <w:p w:rsidR="007E2B77" w:rsidRPr="00470480" w:rsidRDefault="007E2B77" w:rsidP="007E2B77">
      <w:pPr>
        <w:pStyle w:val="NormalWeb"/>
        <w:rPr>
          <w:rFonts w:ascii="Arial" w:hAnsi="Arial" w:cs="Arial"/>
          <w:color w:val="000000"/>
          <w:sz w:val="20"/>
          <w:szCs w:val="20"/>
        </w:rPr>
      </w:pPr>
    </w:p>
    <w:p w:rsidR="007E2B77" w:rsidRDefault="007E2B77" w:rsidP="007E2B77">
      <w:pPr>
        <w:pStyle w:val="NormalWeb"/>
        <w:rPr>
          <w:rFonts w:ascii="Arial" w:hAnsi="Arial" w:cs="Arial"/>
          <w:b/>
          <w:bCs/>
          <w:color w:val="000000"/>
          <w:sz w:val="20"/>
          <w:szCs w:val="20"/>
        </w:rPr>
      </w:pPr>
    </w:p>
    <w:p w:rsidR="007E2B77" w:rsidRDefault="007E2B77" w:rsidP="007E2B77">
      <w:pPr>
        <w:pStyle w:val="NormalWeb"/>
        <w:rPr>
          <w:rFonts w:ascii="Arial" w:hAnsi="Arial" w:cs="Arial"/>
          <w:b/>
          <w:bCs/>
          <w:color w:val="000000"/>
          <w:sz w:val="20"/>
          <w:szCs w:val="20"/>
        </w:rPr>
      </w:pPr>
    </w:p>
    <w:p w:rsidR="007E2B77" w:rsidRPr="00470480" w:rsidRDefault="007E2B77" w:rsidP="007E2B77">
      <w:pPr>
        <w:pStyle w:val="NormalWeb"/>
        <w:rPr>
          <w:rFonts w:ascii="Arial" w:hAnsi="Arial" w:cs="Arial"/>
          <w:b/>
          <w:bCs/>
          <w:color w:val="000000"/>
          <w:sz w:val="20"/>
          <w:szCs w:val="20"/>
        </w:rPr>
      </w:pPr>
      <w:r w:rsidRPr="00470480">
        <w:rPr>
          <w:rFonts w:ascii="Arial" w:hAnsi="Arial" w:cs="Arial"/>
          <w:b/>
          <w:bCs/>
          <w:color w:val="000000"/>
          <w:sz w:val="20"/>
          <w:szCs w:val="20"/>
        </w:rPr>
        <w:t>Master Circular - Bank Finance to Non-Banking Financial Companies (NBFCs)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RBI/2021-22/149</w:t>
      </w:r>
      <w:r w:rsidRPr="00470480">
        <w:rPr>
          <w:rFonts w:ascii="Arial" w:hAnsi="Arial" w:cs="Arial"/>
          <w:color w:val="000000"/>
          <w:sz w:val="20"/>
          <w:szCs w:val="20"/>
        </w:rPr>
        <w:br/>
        <w:t>DOR.CRE.REC.No.77/21.04.172/2021-22</w:t>
      </w:r>
    </w:p>
    <w:p w:rsidR="007E2B77" w:rsidRPr="00470480" w:rsidRDefault="007E2B77" w:rsidP="007E2B77">
      <w:pPr>
        <w:pStyle w:val="NormalWeb"/>
        <w:jc w:val="right"/>
        <w:rPr>
          <w:rFonts w:ascii="Arial" w:hAnsi="Arial" w:cs="Arial"/>
          <w:color w:val="000000"/>
          <w:sz w:val="20"/>
          <w:szCs w:val="20"/>
        </w:rPr>
      </w:pPr>
      <w:r w:rsidRPr="00470480">
        <w:rPr>
          <w:rFonts w:ascii="Arial" w:hAnsi="Arial" w:cs="Arial"/>
          <w:color w:val="000000"/>
          <w:sz w:val="20"/>
          <w:szCs w:val="20"/>
        </w:rPr>
        <w:t>January 05, 2022</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All Scheduled Commercial Banks (excluding RRBs)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Madam/ Dear Sir,</w:t>
      </w:r>
    </w:p>
    <w:p w:rsidR="007E2B77" w:rsidRPr="00470480" w:rsidRDefault="007E2B77" w:rsidP="007E2B77">
      <w:pPr>
        <w:pStyle w:val="head"/>
        <w:jc w:val="center"/>
        <w:rPr>
          <w:rFonts w:ascii="Arial" w:hAnsi="Arial" w:cs="Arial"/>
          <w:b/>
          <w:bCs/>
          <w:color w:val="000000"/>
          <w:sz w:val="20"/>
          <w:szCs w:val="20"/>
        </w:rPr>
      </w:pPr>
      <w:r w:rsidRPr="00470480">
        <w:rPr>
          <w:rFonts w:ascii="Arial" w:hAnsi="Arial" w:cs="Arial"/>
          <w:b/>
          <w:bCs/>
          <w:color w:val="000000"/>
          <w:sz w:val="20"/>
          <w:szCs w:val="20"/>
        </w:rPr>
        <w:t>Master Circular - Bank Finance to Non-Banking Financial Companies (NBFCs)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Please refer to our </w:t>
      </w:r>
      <w:hyperlink r:id="rId70" w:tgtFrame="_blank" w:history="1">
        <w:r w:rsidRPr="00470480">
          <w:rPr>
            <w:rStyle w:val="Hyperlink"/>
            <w:rFonts w:ascii="Arial" w:hAnsi="Arial" w:cs="Arial"/>
            <w:sz w:val="20"/>
            <w:szCs w:val="20"/>
          </w:rPr>
          <w:t>Master Circular DBR.BP.BC.No.5/21.04.172/2015-16 dated July 1, 2015</w:t>
        </w:r>
      </w:hyperlink>
      <w:r w:rsidRPr="00470480">
        <w:rPr>
          <w:rFonts w:ascii="Arial" w:hAnsi="Arial" w:cs="Arial"/>
          <w:color w:val="000000"/>
          <w:sz w:val="20"/>
          <w:szCs w:val="20"/>
        </w:rPr>
        <w:t> on the captioned subject. This </w:t>
      </w:r>
      <w:hyperlink r:id="rId71" w:anchor="MC" w:history="1">
        <w:r w:rsidRPr="00470480">
          <w:rPr>
            <w:rStyle w:val="Hyperlink"/>
            <w:rFonts w:ascii="Arial" w:hAnsi="Arial" w:cs="Arial"/>
            <w:sz w:val="20"/>
            <w:szCs w:val="20"/>
          </w:rPr>
          <w:t>Master Circular</w:t>
        </w:r>
      </w:hyperlink>
      <w:r w:rsidRPr="00470480">
        <w:rPr>
          <w:rFonts w:ascii="Arial" w:hAnsi="Arial" w:cs="Arial"/>
          <w:color w:val="000000"/>
          <w:sz w:val="20"/>
          <w:szCs w:val="20"/>
        </w:rPr>
        <w:t> consolidates instructions on the above matter issued up to January 04, 2022.</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Yours faithfully,</w:t>
      </w:r>
    </w:p>
    <w:p w:rsidR="007E2B77" w:rsidRPr="00470480" w:rsidRDefault="007E2B77" w:rsidP="007E2B77">
      <w:pPr>
        <w:pStyle w:val="NormalWeb"/>
        <w:rPr>
          <w:rFonts w:ascii="Arial" w:hAnsi="Arial" w:cs="Arial"/>
          <w:color w:val="000000"/>
          <w:sz w:val="20"/>
          <w:szCs w:val="20"/>
        </w:rPr>
      </w:pPr>
      <w:r w:rsidRPr="00470480">
        <w:rPr>
          <w:rFonts w:ascii="Arial" w:hAnsi="Arial" w:cs="Arial"/>
          <w:color w:val="000000"/>
          <w:sz w:val="20"/>
          <w:szCs w:val="20"/>
        </w:rPr>
        <w:t>(</w:t>
      </w:r>
      <w:proofErr w:type="spellStart"/>
      <w:r w:rsidRPr="00470480">
        <w:rPr>
          <w:rFonts w:ascii="Arial" w:hAnsi="Arial" w:cs="Arial"/>
          <w:color w:val="000000"/>
          <w:sz w:val="20"/>
          <w:szCs w:val="20"/>
        </w:rPr>
        <w:t>Manoranjan</w:t>
      </w:r>
      <w:proofErr w:type="spellEnd"/>
      <w:r w:rsidRPr="00470480">
        <w:rPr>
          <w:rFonts w:ascii="Arial" w:hAnsi="Arial" w:cs="Arial"/>
          <w:color w:val="000000"/>
          <w:sz w:val="20"/>
          <w:szCs w:val="20"/>
        </w:rPr>
        <w:t xml:space="preserve"> Mishra)</w:t>
      </w:r>
      <w:r w:rsidRPr="00470480">
        <w:rPr>
          <w:rFonts w:ascii="Arial" w:hAnsi="Arial" w:cs="Arial"/>
          <w:color w:val="000000"/>
          <w:sz w:val="20"/>
          <w:szCs w:val="20"/>
        </w:rPr>
        <w:br/>
        <w:t>Chief General Manager</w:t>
      </w:r>
    </w:p>
    <w:p w:rsidR="007E2B77" w:rsidRDefault="007E2B77" w:rsidP="007E2B77">
      <w:pPr>
        <w:pStyle w:val="NormalWeb"/>
        <w:spacing w:before="0" w:beforeAutospacing="0"/>
        <w:rPr>
          <w:rFonts w:ascii="Arial" w:hAnsi="Arial" w:cs="Arial"/>
          <w:color w:val="000000"/>
          <w:sz w:val="20"/>
          <w:szCs w:val="20"/>
        </w:rPr>
      </w:pPr>
    </w:p>
    <w:p w:rsidR="007E2B77" w:rsidRDefault="007E2B77" w:rsidP="007E2B77">
      <w:pPr>
        <w:pStyle w:val="NormalWeb"/>
        <w:spacing w:before="0" w:beforeAutospacing="0"/>
        <w:rPr>
          <w:rFonts w:ascii="Arial" w:hAnsi="Arial" w:cs="Arial"/>
          <w:color w:val="000000"/>
          <w:sz w:val="20"/>
          <w:szCs w:val="20"/>
        </w:rPr>
      </w:pPr>
    </w:p>
    <w:p w:rsidR="007E2B77" w:rsidRPr="00470480" w:rsidRDefault="007E2B77" w:rsidP="007E2B77">
      <w:pPr>
        <w:pStyle w:val="NormalWeb"/>
        <w:spacing w:before="0" w:beforeAutospacing="0" w:after="0" w:afterAutospacing="0"/>
        <w:rPr>
          <w:rFonts w:ascii="Arial" w:hAnsi="Arial" w:cs="Arial"/>
          <w:color w:val="000000"/>
          <w:sz w:val="20"/>
          <w:szCs w:val="20"/>
        </w:rPr>
      </w:pPr>
      <w:r>
        <w:rPr>
          <w:rFonts w:ascii="Arial" w:hAnsi="Arial" w:cs="Arial"/>
          <w:color w:val="000000"/>
          <w:sz w:val="20"/>
          <w:szCs w:val="20"/>
        </w:rPr>
        <w:t>For the detailed Master Circular, refer to the link below.</w:t>
      </w:r>
    </w:p>
    <w:p w:rsidR="007E2B77" w:rsidRPr="00470480" w:rsidRDefault="007E2B77" w:rsidP="007E2B77">
      <w:pPr>
        <w:pStyle w:val="NormalWeb"/>
        <w:spacing w:before="0" w:beforeAutospacing="0" w:after="0" w:afterAutospacing="0"/>
        <w:rPr>
          <w:rFonts w:ascii="Arial" w:hAnsi="Arial" w:cs="Arial"/>
          <w:color w:val="000000"/>
          <w:sz w:val="20"/>
          <w:szCs w:val="20"/>
        </w:rPr>
      </w:pPr>
      <w:r w:rsidRPr="00470480">
        <w:rPr>
          <w:rFonts w:ascii="Arial" w:hAnsi="Arial" w:cs="Arial"/>
          <w:color w:val="000000"/>
          <w:sz w:val="20"/>
          <w:szCs w:val="20"/>
        </w:rPr>
        <w:t xml:space="preserve">Reference Link: </w:t>
      </w:r>
      <w:hyperlink r:id="rId72" w:history="1">
        <w:r w:rsidRPr="00470480">
          <w:rPr>
            <w:rStyle w:val="Hyperlink"/>
            <w:rFonts w:ascii="Arial" w:hAnsi="Arial" w:cs="Arial"/>
            <w:sz w:val="20"/>
            <w:szCs w:val="20"/>
          </w:rPr>
          <w:t>https://www.rbi.org.in/Scripts/NotificationUser.aspx?Id=12218&amp;Mode=0</w:t>
        </w:r>
      </w:hyperlink>
    </w:p>
    <w:p w:rsidR="007E2B77" w:rsidRPr="00470480" w:rsidRDefault="007E2B77" w:rsidP="007E2B77">
      <w:pPr>
        <w:pStyle w:val="NormalWeb"/>
        <w:rPr>
          <w:rFonts w:ascii="Arial" w:hAnsi="Arial" w:cs="Arial"/>
          <w:color w:val="000000"/>
          <w:sz w:val="20"/>
          <w:szCs w:val="20"/>
        </w:rPr>
      </w:pPr>
    </w:p>
    <w:p w:rsidR="007E2B77" w:rsidRPr="00470480" w:rsidRDefault="007E2B77" w:rsidP="007E2B77">
      <w:pPr>
        <w:pStyle w:val="NormalWeb"/>
        <w:rPr>
          <w:rFonts w:ascii="Arial" w:hAnsi="Arial" w:cs="Arial"/>
          <w:color w:val="000000"/>
          <w:sz w:val="20"/>
          <w:szCs w:val="20"/>
        </w:rPr>
      </w:pPr>
    </w:p>
    <w:p w:rsidR="007E2B77" w:rsidRPr="00470480" w:rsidRDefault="007E2B77" w:rsidP="007E2B77">
      <w:pPr>
        <w:pStyle w:val="NormalWeb"/>
        <w:rPr>
          <w:rFonts w:ascii="Arial" w:hAnsi="Arial" w:cs="Arial"/>
          <w:color w:val="000000"/>
          <w:sz w:val="20"/>
          <w:szCs w:val="20"/>
        </w:rPr>
      </w:pPr>
    </w:p>
    <w:p w:rsidR="007E2B77" w:rsidRPr="00470480" w:rsidRDefault="007E2B77" w:rsidP="007E2B77">
      <w:pPr>
        <w:pStyle w:val="NormalWeb"/>
        <w:rPr>
          <w:rFonts w:ascii="Arial" w:hAnsi="Arial" w:cs="Arial"/>
          <w:color w:val="000000"/>
          <w:sz w:val="20"/>
          <w:szCs w:val="20"/>
        </w:rPr>
      </w:pPr>
    </w:p>
    <w:p w:rsidR="007E2B77" w:rsidRPr="00470480" w:rsidRDefault="007E2B77" w:rsidP="007E2B77">
      <w:pPr>
        <w:pStyle w:val="NormalWeb"/>
        <w:rPr>
          <w:rFonts w:ascii="Arial" w:hAnsi="Arial" w:cs="Arial"/>
          <w:color w:val="000000"/>
          <w:sz w:val="20"/>
          <w:szCs w:val="20"/>
        </w:rPr>
      </w:pPr>
    </w:p>
    <w:p w:rsidR="007E2B77" w:rsidRPr="00470480" w:rsidRDefault="007E2B77" w:rsidP="007E2B77">
      <w:pPr>
        <w:pStyle w:val="NormalWeb"/>
        <w:rPr>
          <w:rFonts w:ascii="Arial" w:hAnsi="Arial" w:cs="Arial"/>
          <w:color w:val="000000"/>
          <w:sz w:val="20"/>
          <w:szCs w:val="20"/>
        </w:rPr>
      </w:pPr>
    </w:p>
    <w:p w:rsidR="007E2B77" w:rsidRDefault="007E2B77">
      <w:r>
        <w:br w:type="page"/>
      </w:r>
    </w:p>
    <w:p w:rsidR="007E2B77" w:rsidRPr="00470480" w:rsidRDefault="007E2B77" w:rsidP="007E2B77">
      <w:pPr>
        <w:pStyle w:val="NormalWeb"/>
        <w:rPr>
          <w:rFonts w:ascii="Arial" w:hAnsi="Arial" w:cs="Arial"/>
          <w:b/>
          <w:bCs/>
          <w:color w:val="000000"/>
          <w:sz w:val="20"/>
          <w:szCs w:val="20"/>
        </w:rPr>
      </w:pPr>
    </w:p>
    <w:p w:rsidR="007E2B77" w:rsidRPr="00470480" w:rsidRDefault="007E2B77" w:rsidP="007E2B77">
      <w:pPr>
        <w:pStyle w:val="NormalWeb"/>
        <w:rPr>
          <w:rFonts w:ascii="Arial" w:hAnsi="Arial" w:cs="Arial"/>
          <w:b/>
          <w:bCs/>
          <w:color w:val="000000"/>
          <w:sz w:val="20"/>
          <w:szCs w:val="20"/>
        </w:rPr>
      </w:pPr>
    </w:p>
    <w:p w:rsidR="007E2B77" w:rsidRPr="00470480" w:rsidRDefault="007E2B77" w:rsidP="007E2B77">
      <w:pPr>
        <w:pStyle w:val="NormalWeb"/>
        <w:rPr>
          <w:rFonts w:ascii="Arial" w:hAnsi="Arial" w:cs="Arial"/>
          <w:b/>
          <w:bCs/>
          <w:color w:val="000000"/>
          <w:sz w:val="20"/>
          <w:szCs w:val="20"/>
        </w:rPr>
      </w:pPr>
      <w:r w:rsidRPr="00470480">
        <w:rPr>
          <w:rFonts w:ascii="Arial" w:hAnsi="Arial" w:cs="Arial"/>
          <w:b/>
          <w:bCs/>
          <w:color w:val="000000"/>
          <w:sz w:val="20"/>
          <w:szCs w:val="20"/>
        </w:rPr>
        <w:t>Framework for Facilitating Small Value Digital Payments in Offline Mode</w:t>
      </w:r>
    </w:p>
    <w:p w:rsidR="007E2B77" w:rsidRPr="00470480" w:rsidRDefault="007E2B77" w:rsidP="007E2B77">
      <w:pPr>
        <w:pStyle w:val="NormalWeb"/>
        <w:rPr>
          <w:rFonts w:ascii="Arial" w:hAnsi="Arial" w:cs="Arial"/>
          <w:b/>
          <w:bCs/>
          <w:color w:val="000000"/>
          <w:sz w:val="20"/>
          <w:szCs w:val="20"/>
        </w:rPr>
      </w:pP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RBI/2021-22/146</w:t>
      </w:r>
      <w:r w:rsidRPr="00470480">
        <w:rPr>
          <w:rFonts w:ascii="Arial" w:hAnsi="Arial" w:cs="Arial"/>
          <w:color w:val="000000"/>
          <w:sz w:val="20"/>
          <w:szCs w:val="20"/>
        </w:rPr>
        <w:br/>
        <w:t>CO.DPSS.POLC.No.S1264/02-14-003/2021-2022</w:t>
      </w:r>
    </w:p>
    <w:p w:rsidR="007E2B77" w:rsidRPr="00470480" w:rsidRDefault="007E2B77" w:rsidP="007E2B77">
      <w:pPr>
        <w:pStyle w:val="NormalWeb"/>
        <w:jc w:val="right"/>
        <w:rPr>
          <w:rFonts w:ascii="Arial" w:hAnsi="Arial" w:cs="Arial"/>
          <w:color w:val="000000"/>
          <w:sz w:val="20"/>
          <w:szCs w:val="20"/>
        </w:rPr>
      </w:pPr>
      <w:r w:rsidRPr="00470480">
        <w:rPr>
          <w:rFonts w:ascii="Arial" w:hAnsi="Arial" w:cs="Arial"/>
          <w:color w:val="000000"/>
          <w:sz w:val="20"/>
          <w:szCs w:val="20"/>
        </w:rPr>
        <w:t>January 03, 2022</w:t>
      </w:r>
    </w:p>
    <w:p w:rsidR="007E2B77" w:rsidRPr="00470480" w:rsidRDefault="007E2B77" w:rsidP="007E2B77">
      <w:pPr>
        <w:pStyle w:val="NormalWeb"/>
        <w:rPr>
          <w:rFonts w:ascii="Arial" w:hAnsi="Arial" w:cs="Arial"/>
          <w:color w:val="000000"/>
          <w:sz w:val="20"/>
          <w:szCs w:val="20"/>
        </w:rPr>
      </w:pPr>
      <w:r w:rsidRPr="00470480">
        <w:rPr>
          <w:rFonts w:ascii="Arial" w:hAnsi="Arial" w:cs="Arial"/>
          <w:color w:val="000000"/>
          <w:sz w:val="20"/>
          <w:szCs w:val="20"/>
        </w:rPr>
        <w:t>The Chairman / Managing Director / Chief Executive Officer</w:t>
      </w:r>
      <w:r w:rsidRPr="00470480">
        <w:rPr>
          <w:rFonts w:ascii="Arial" w:hAnsi="Arial" w:cs="Arial"/>
          <w:color w:val="000000"/>
          <w:sz w:val="20"/>
          <w:szCs w:val="20"/>
        </w:rPr>
        <w:br/>
        <w:t>Authorised Payment System Operators and Participants (Banks and Non-banks)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Madam / Dear Sir,</w:t>
      </w:r>
    </w:p>
    <w:p w:rsidR="007E2B77" w:rsidRPr="00470480" w:rsidRDefault="007E2B77" w:rsidP="007E2B77">
      <w:pPr>
        <w:pStyle w:val="head"/>
        <w:jc w:val="both"/>
        <w:rPr>
          <w:rFonts w:ascii="Arial" w:hAnsi="Arial" w:cs="Arial"/>
          <w:b/>
          <w:bCs/>
          <w:color w:val="000000"/>
          <w:sz w:val="20"/>
          <w:szCs w:val="20"/>
        </w:rPr>
      </w:pPr>
      <w:r w:rsidRPr="00470480">
        <w:rPr>
          <w:rFonts w:ascii="Arial" w:hAnsi="Arial" w:cs="Arial"/>
          <w:b/>
          <w:bCs/>
          <w:color w:val="000000"/>
          <w:sz w:val="20"/>
          <w:szCs w:val="20"/>
        </w:rPr>
        <w:t>Framework for Facilitating Small Value Digital Payments in Offline Mode</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Reserve Bank had, vide </w:t>
      </w:r>
      <w:hyperlink r:id="rId73" w:tgtFrame="_blank" w:history="1">
        <w:r w:rsidRPr="00470480">
          <w:rPr>
            <w:rStyle w:val="Hyperlink"/>
            <w:rFonts w:ascii="Arial" w:hAnsi="Arial" w:cs="Arial"/>
            <w:sz w:val="20"/>
            <w:szCs w:val="20"/>
          </w:rPr>
          <w:t>circular dated August 06, 2020</w:t>
        </w:r>
      </w:hyperlink>
      <w:r w:rsidRPr="00470480">
        <w:rPr>
          <w:rFonts w:ascii="Arial" w:hAnsi="Arial" w:cs="Arial"/>
          <w:color w:val="000000"/>
          <w:sz w:val="20"/>
          <w:szCs w:val="20"/>
        </w:rPr>
        <w:t>, permitted a pilot scheme to encourage technological innovations that enable small value digital transactions in offline mode. It was stated therein that the decision on formalising such a system would be based on the experience gained.</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2. Pilot testing was undertaken by some entities during the period from September 2020 to July 2021. With encouraging feedback from the pilots, it was announced in the </w:t>
      </w:r>
      <w:hyperlink r:id="rId74" w:tgtFrame="_blank" w:history="1">
        <w:r w:rsidRPr="00470480">
          <w:rPr>
            <w:rStyle w:val="Hyperlink"/>
            <w:rFonts w:ascii="Arial" w:hAnsi="Arial" w:cs="Arial"/>
            <w:sz w:val="20"/>
            <w:szCs w:val="20"/>
          </w:rPr>
          <w:t>Statement on Developmental and Regulatory policies dated October 08, 2021</w:t>
        </w:r>
      </w:hyperlink>
      <w:r w:rsidRPr="00470480">
        <w:rPr>
          <w:rFonts w:ascii="Arial" w:hAnsi="Arial" w:cs="Arial"/>
          <w:color w:val="000000"/>
          <w:sz w:val="20"/>
          <w:szCs w:val="20"/>
        </w:rPr>
        <w:t>, that a framework for carrying out small value digital payments in offline mode across the country would be introduced.</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3. Accordingly, the framework to enable small value digital payments in offline mode using cards, wallets, mobile devices, etc., is detailed in </w:t>
      </w:r>
      <w:hyperlink r:id="rId75" w:anchor="AN1" w:history="1">
        <w:r w:rsidRPr="00470480">
          <w:rPr>
            <w:rStyle w:val="Hyperlink"/>
            <w:rFonts w:ascii="Arial" w:hAnsi="Arial" w:cs="Arial"/>
            <w:sz w:val="20"/>
            <w:szCs w:val="20"/>
          </w:rPr>
          <w:t>Annex</w:t>
        </w:r>
      </w:hyperlink>
      <w:r w:rsidRPr="00470480">
        <w:rPr>
          <w:rFonts w:ascii="Arial" w:hAnsi="Arial" w:cs="Arial"/>
          <w:color w:val="000000"/>
          <w:sz w:val="20"/>
          <w:szCs w:val="20"/>
        </w:rPr>
        <w:t>. Authorised Payment System Operators (PSOs) and Payment System Participants (PSPs) – Acquirers and Issuers (banks and non-banks) - shall ensure compliance with all the applicable instructions.</w:t>
      </w:r>
    </w:p>
    <w:p w:rsidR="007E2B77" w:rsidRPr="00470480" w:rsidRDefault="007E2B77" w:rsidP="007E2B77">
      <w:pPr>
        <w:pStyle w:val="NormalWeb"/>
        <w:jc w:val="both"/>
        <w:rPr>
          <w:rFonts w:ascii="Arial" w:hAnsi="Arial" w:cs="Arial"/>
          <w:color w:val="000000"/>
          <w:sz w:val="20"/>
          <w:szCs w:val="20"/>
        </w:rPr>
      </w:pPr>
      <w:r w:rsidRPr="00470480">
        <w:rPr>
          <w:rFonts w:ascii="Arial" w:hAnsi="Arial" w:cs="Arial"/>
          <w:color w:val="000000"/>
          <w:sz w:val="20"/>
          <w:szCs w:val="20"/>
        </w:rPr>
        <w:t>4. This directive is issued under Section 10 (2) read with Section 18 of Payment and Settlement Systems Act, 2007 (Act 51 of 2007) and shall come into effect immediately.</w:t>
      </w:r>
    </w:p>
    <w:p w:rsidR="007E2B77" w:rsidRPr="00470480" w:rsidRDefault="007E2B77" w:rsidP="007E2B77">
      <w:pPr>
        <w:pStyle w:val="NormalWeb"/>
        <w:rPr>
          <w:rFonts w:ascii="Arial" w:hAnsi="Arial" w:cs="Arial"/>
          <w:color w:val="000000"/>
          <w:sz w:val="20"/>
          <w:szCs w:val="20"/>
        </w:rPr>
      </w:pPr>
      <w:r w:rsidRPr="00470480">
        <w:rPr>
          <w:rFonts w:ascii="Arial" w:hAnsi="Arial" w:cs="Arial"/>
          <w:color w:val="000000"/>
          <w:sz w:val="20"/>
          <w:szCs w:val="20"/>
        </w:rPr>
        <w:t>Yours faithfully,</w:t>
      </w:r>
    </w:p>
    <w:p w:rsidR="007E2B77" w:rsidRPr="00470480" w:rsidRDefault="007E2B77" w:rsidP="007E2B77">
      <w:pPr>
        <w:pStyle w:val="NormalWeb"/>
        <w:rPr>
          <w:rFonts w:ascii="Arial" w:hAnsi="Arial" w:cs="Arial"/>
          <w:color w:val="000000"/>
          <w:sz w:val="20"/>
          <w:szCs w:val="20"/>
        </w:rPr>
      </w:pPr>
      <w:r w:rsidRPr="00470480">
        <w:rPr>
          <w:rFonts w:ascii="Arial" w:hAnsi="Arial" w:cs="Arial"/>
          <w:color w:val="000000"/>
          <w:sz w:val="20"/>
          <w:szCs w:val="20"/>
        </w:rPr>
        <w:t xml:space="preserve">(P </w:t>
      </w:r>
      <w:proofErr w:type="spellStart"/>
      <w:r w:rsidRPr="00470480">
        <w:rPr>
          <w:rFonts w:ascii="Arial" w:hAnsi="Arial" w:cs="Arial"/>
          <w:color w:val="000000"/>
          <w:sz w:val="20"/>
          <w:szCs w:val="20"/>
        </w:rPr>
        <w:t>Vasudevan</w:t>
      </w:r>
      <w:proofErr w:type="spellEnd"/>
      <w:r w:rsidRPr="00470480">
        <w:rPr>
          <w:rFonts w:ascii="Arial" w:hAnsi="Arial" w:cs="Arial"/>
          <w:color w:val="000000"/>
          <w:sz w:val="20"/>
          <w:szCs w:val="20"/>
        </w:rPr>
        <w:t>)</w:t>
      </w:r>
      <w:r w:rsidRPr="00470480">
        <w:rPr>
          <w:rFonts w:ascii="Arial" w:hAnsi="Arial" w:cs="Arial"/>
          <w:color w:val="000000"/>
          <w:sz w:val="20"/>
          <w:szCs w:val="20"/>
        </w:rPr>
        <w:br/>
        <w:t>Chief General Manager</w:t>
      </w:r>
    </w:p>
    <w:p w:rsidR="007E2B77" w:rsidRDefault="007E2B77" w:rsidP="007E2B77">
      <w:pPr>
        <w:pStyle w:val="NormalWeb"/>
        <w:rPr>
          <w:rFonts w:ascii="Arial" w:hAnsi="Arial" w:cs="Arial"/>
          <w:color w:val="000000"/>
          <w:sz w:val="20"/>
          <w:szCs w:val="20"/>
        </w:rPr>
      </w:pPr>
    </w:p>
    <w:p w:rsidR="007E2B77" w:rsidRDefault="007E2B77" w:rsidP="007E2B77">
      <w:pPr>
        <w:pStyle w:val="NormalWeb"/>
        <w:rPr>
          <w:rFonts w:ascii="Arial" w:hAnsi="Arial" w:cs="Arial"/>
          <w:color w:val="000000"/>
          <w:sz w:val="20"/>
          <w:szCs w:val="20"/>
        </w:rPr>
      </w:pPr>
      <w:r>
        <w:rPr>
          <w:rFonts w:ascii="Arial" w:hAnsi="Arial" w:cs="Arial"/>
          <w:color w:val="000000"/>
          <w:sz w:val="20"/>
          <w:szCs w:val="20"/>
        </w:rPr>
        <w:t xml:space="preserve">Reference Link: </w:t>
      </w:r>
      <w:hyperlink r:id="rId76" w:history="1">
        <w:r w:rsidRPr="004D48F4">
          <w:rPr>
            <w:rStyle w:val="Hyperlink"/>
            <w:rFonts w:ascii="Arial" w:hAnsi="Arial" w:cs="Arial"/>
            <w:sz w:val="20"/>
            <w:szCs w:val="20"/>
          </w:rPr>
          <w:t>https://www.rbi.org.in/Scripts/NotificationUser.aspx?Id=12215&amp;Mode=0</w:t>
        </w:r>
      </w:hyperlink>
    </w:p>
    <w:p w:rsidR="007E2B77" w:rsidRPr="00470480" w:rsidRDefault="007E2B77" w:rsidP="007E2B77">
      <w:pPr>
        <w:pStyle w:val="NormalWeb"/>
        <w:rPr>
          <w:rFonts w:ascii="Arial" w:hAnsi="Arial" w:cs="Arial"/>
          <w:color w:val="000000"/>
          <w:sz w:val="20"/>
          <w:szCs w:val="20"/>
        </w:rPr>
      </w:pPr>
    </w:p>
    <w:p w:rsidR="007E2B77" w:rsidRPr="00470480" w:rsidRDefault="007E2B77" w:rsidP="007E2B77">
      <w:pPr>
        <w:pStyle w:val="NormalWeb"/>
        <w:rPr>
          <w:rFonts w:ascii="Arial" w:hAnsi="Arial" w:cs="Arial"/>
          <w:color w:val="000000"/>
          <w:sz w:val="20"/>
          <w:szCs w:val="20"/>
        </w:rPr>
      </w:pPr>
    </w:p>
    <w:p w:rsidR="007E2B77" w:rsidRPr="00470480" w:rsidRDefault="007E2B77" w:rsidP="007E2B77">
      <w:pPr>
        <w:spacing w:after="0"/>
        <w:jc w:val="both"/>
        <w:rPr>
          <w:rFonts w:ascii="Arial" w:hAnsi="Arial" w:cs="Arial"/>
          <w:sz w:val="20"/>
          <w:szCs w:val="20"/>
        </w:rPr>
      </w:pPr>
    </w:p>
    <w:p w:rsidR="007E2B77" w:rsidRDefault="007E2B77" w:rsidP="007E2B77"/>
    <w:sectPr w:rsidR="007E2B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266A10"/>
    <w:multiLevelType w:val="multilevel"/>
    <w:tmpl w:val="5E2C2A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43B41EE4"/>
    <w:multiLevelType w:val="multilevel"/>
    <w:tmpl w:val="71682B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54CD71FE"/>
    <w:multiLevelType w:val="hybridMultilevel"/>
    <w:tmpl w:val="F4BEDC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9D81324"/>
    <w:multiLevelType w:val="multilevel"/>
    <w:tmpl w:val="E57A19A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B77"/>
    <w:rsid w:val="00177167"/>
    <w:rsid w:val="007E2B77"/>
    <w:rsid w:val="00C90C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DB66F"/>
  <w15:chartTrackingRefBased/>
  <w15:docId w15:val="{B45DC8E9-9427-4173-9DF3-E34D7917E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2B77"/>
    <w:rPr>
      <w:color w:val="0000FF"/>
      <w:u w:val="single"/>
    </w:rPr>
  </w:style>
  <w:style w:type="paragraph" w:styleId="NormalWeb">
    <w:name w:val="Normal (Web)"/>
    <w:basedOn w:val="Normal"/>
    <w:uiPriority w:val="99"/>
    <w:unhideWhenUsed/>
    <w:rsid w:val="007E2B7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ead">
    <w:name w:val="head"/>
    <w:basedOn w:val="Normal"/>
    <w:rsid w:val="007E2B7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1">
    <w:name w:val="head1"/>
    <w:basedOn w:val="DefaultParagraphFont"/>
    <w:rsid w:val="007E2B77"/>
  </w:style>
  <w:style w:type="table" w:styleId="TableGrid">
    <w:name w:val="Table Grid"/>
    <w:basedOn w:val="TableNormal"/>
    <w:uiPriority w:val="39"/>
    <w:rsid w:val="00C90C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0C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bi.org.in/Scripts/NotificationUser.aspx?Id=12051&amp;Mode=0" TargetMode="External"/><Relationship Id="rId18" Type="http://schemas.openxmlformats.org/officeDocument/2006/relationships/hyperlink" Target="https://www.rbi.org.in/scripts/FS_Notification.aspx?Id=12177&amp;fn=2754&amp;Mode=0" TargetMode="External"/><Relationship Id="rId26" Type="http://schemas.openxmlformats.org/officeDocument/2006/relationships/hyperlink" Target="https://www.rbi.org.in/Scripts/NotificationUser.aspx?Id=12303&amp;Mode=0" TargetMode="External"/><Relationship Id="rId39" Type="http://schemas.openxmlformats.org/officeDocument/2006/relationships/hyperlink" Target="https://www.rbi.org.in/Scripts/NotificationUser.aspx?Id=12294&amp;Mode=0" TargetMode="External"/><Relationship Id="rId21" Type="http://schemas.openxmlformats.org/officeDocument/2006/relationships/hyperlink" Target="https://www.rbi.org.in/Scripts/BS_ViewMasDirections.aspx?id=10563" TargetMode="External"/><Relationship Id="rId34" Type="http://schemas.openxmlformats.org/officeDocument/2006/relationships/hyperlink" Target="https://www.rbi.org.in/Scripts/NotificationUser.aspx?Id=12179&amp;Mode=0" TargetMode="External"/><Relationship Id="rId42" Type="http://schemas.openxmlformats.org/officeDocument/2006/relationships/hyperlink" Target="https://www.rbi.org.in/Scripts/NotificationUser.aspx?Id=12292&amp;Mode=0" TargetMode="External"/><Relationship Id="rId47" Type="http://schemas.openxmlformats.org/officeDocument/2006/relationships/hyperlink" Target="https://www.rbi.org.in/Scripts/NotificationUser.aspx?Id=12290&amp;Mode=0" TargetMode="External"/><Relationship Id="rId50" Type="http://schemas.openxmlformats.org/officeDocument/2006/relationships/hyperlink" Target="https://www.rbi.org.in/Scripts/NotificationUser.aspx?Id=12289&amp;Mode=0" TargetMode="External"/><Relationship Id="rId55" Type="http://schemas.openxmlformats.org/officeDocument/2006/relationships/hyperlink" Target="https://www.rbi.org.in/Scripts/NotificationUser.aspx?Id=12281&amp;Mode=0" TargetMode="External"/><Relationship Id="rId63" Type="http://schemas.openxmlformats.org/officeDocument/2006/relationships/hyperlink" Target="https://www.rbi.org.in/Scripts/NotificationUser.aspx?Id=12256&amp;Mode=0" TargetMode="External"/><Relationship Id="rId68" Type="http://schemas.openxmlformats.org/officeDocument/2006/relationships/hyperlink" Target="https://www.rbi.org.in/Scripts/NotificationUser.aspx?Id=12230&amp;Mode=0" TargetMode="External"/><Relationship Id="rId76" Type="http://schemas.openxmlformats.org/officeDocument/2006/relationships/hyperlink" Target="https://www.rbi.org.in/Scripts/NotificationUser.aspx?Id=12215&amp;Mode=0" TargetMode="External"/><Relationship Id="rId7" Type="http://schemas.openxmlformats.org/officeDocument/2006/relationships/hyperlink" Target="https://www.rbi.org.in/Scripts/NotificationUser.aspx?Id=12346&amp;Mode=0" TargetMode="External"/><Relationship Id="rId71" Type="http://schemas.openxmlformats.org/officeDocument/2006/relationships/hyperlink" Target="https://www.rbi.org.in/Scripts/NotificationUser.aspx?Id=12218&amp;Mode=0" TargetMode="External"/><Relationship Id="rId2" Type="http://schemas.openxmlformats.org/officeDocument/2006/relationships/styles" Target="styles.xml"/><Relationship Id="rId16" Type="http://schemas.openxmlformats.org/officeDocument/2006/relationships/hyperlink" Target="https://www.rbi.org.in/Scripts/NotificationUser.aspx?Id=12329&amp;Mode=0" TargetMode="External"/><Relationship Id="rId29" Type="http://schemas.openxmlformats.org/officeDocument/2006/relationships/hyperlink" Target="https://www.rbi.org.in/Scripts/NotificationUser.aspx?Id=12303&amp;Mode=0" TargetMode="External"/><Relationship Id="rId11" Type="http://schemas.openxmlformats.org/officeDocument/2006/relationships/hyperlink" Target="https://www.rbi.org.in/Scripts/NotificationUser.aspx?Id=11784&amp;Mode=0" TargetMode="External"/><Relationship Id="rId24" Type="http://schemas.openxmlformats.org/officeDocument/2006/relationships/hyperlink" Target="https://www.rbi.org.in/Scripts/NotificationUser.aspx?Id=12179&amp;Mode=0" TargetMode="External"/><Relationship Id="rId32" Type="http://schemas.openxmlformats.org/officeDocument/2006/relationships/hyperlink" Target="https://www.rbi.org.in/Scripts/NotificationUser.aspx?Id=12298&amp;Mode=0" TargetMode="External"/><Relationship Id="rId37" Type="http://schemas.openxmlformats.org/officeDocument/2006/relationships/hyperlink" Target="https://www.rbi.org.in/Scripts/NotificationUser.aspx?Id=12179&amp;Mode=0" TargetMode="External"/><Relationship Id="rId40" Type="http://schemas.openxmlformats.org/officeDocument/2006/relationships/hyperlink" Target="https://www.rbi.org.in/Scripts/NotificationUser.aspx?Id=12179&amp;Mode=0" TargetMode="External"/><Relationship Id="rId45" Type="http://schemas.openxmlformats.org/officeDocument/2006/relationships/hyperlink" Target="https://www.rbi.org.in/Scripts/NotificationUser.aspx?Id=12290&amp;Mode=0" TargetMode="External"/><Relationship Id="rId53" Type="http://schemas.openxmlformats.org/officeDocument/2006/relationships/hyperlink" Target="https://www.rbi.org.in/Scripts/NotificationUser.aspx?Id=12281&amp;Mode=0" TargetMode="External"/><Relationship Id="rId58" Type="http://schemas.openxmlformats.org/officeDocument/2006/relationships/hyperlink" Target="https://www.rbi.org.in/Scripts/NotificationUser.aspx?Id=12280&amp;Mode=0" TargetMode="External"/><Relationship Id="rId66" Type="http://schemas.openxmlformats.org/officeDocument/2006/relationships/hyperlink" Target="https://www.rbi.org.in/Scripts/NotificationUser.aspx?Id=12247&amp;Mode=0" TargetMode="External"/><Relationship Id="rId74" Type="http://schemas.openxmlformats.org/officeDocument/2006/relationships/hyperlink" Target="https://www.rbi.org.in/Scripts/BS_PressReleaseDisplay.aspx?prid=52368" TargetMode="External"/><Relationship Id="rId5" Type="http://schemas.openxmlformats.org/officeDocument/2006/relationships/hyperlink" Target="https://www.rbi.org.in/Scripts/BS_ViewMasDirections.aspx?id=12166" TargetMode="External"/><Relationship Id="rId15" Type="http://schemas.openxmlformats.org/officeDocument/2006/relationships/hyperlink" Target="https://www.rbi.org.in/Scripts/NotificationUser.aspx?Id=12179&amp;Mode=0" TargetMode="External"/><Relationship Id="rId23" Type="http://schemas.openxmlformats.org/officeDocument/2006/relationships/hyperlink" Target="https://www.rbi.org.in/Scripts/NotificationUser.aspx?Id=12304&amp;Mode=0" TargetMode="External"/><Relationship Id="rId28" Type="http://schemas.openxmlformats.org/officeDocument/2006/relationships/hyperlink" Target="https://www.rbi.org.in/Scripts/NotificationUser.aspx?Id=12303&amp;Mode=0" TargetMode="External"/><Relationship Id="rId36" Type="http://schemas.openxmlformats.org/officeDocument/2006/relationships/hyperlink" Target="https://www.rbi.org.in/Scripts/NotificationUser.aspx?Id=12296&amp;Mode=0" TargetMode="External"/><Relationship Id="rId49" Type="http://schemas.openxmlformats.org/officeDocument/2006/relationships/hyperlink" Target="https://www.rbi.org.in/Scripts/BS_PressReleaseDisplay.aspx?prid=53536" TargetMode="External"/><Relationship Id="rId57" Type="http://schemas.openxmlformats.org/officeDocument/2006/relationships/hyperlink" Target="https://www.rbi.org.in/Scripts/NotificationUser.aspx?Id=12280&amp;Mode=0" TargetMode="External"/><Relationship Id="rId61" Type="http://schemas.openxmlformats.org/officeDocument/2006/relationships/hyperlink" Target="https://rbi.org.in/Scripts/BS_PressReleaseDisplay.aspx?prid=51077" TargetMode="External"/><Relationship Id="rId10" Type="http://schemas.openxmlformats.org/officeDocument/2006/relationships/hyperlink" Target="https://www.rbi.org.in/Scripts/NotificationUser.aspx?Id=11668&amp;Mode=0" TargetMode="External"/><Relationship Id="rId19" Type="http://schemas.openxmlformats.org/officeDocument/2006/relationships/hyperlink" Target="https://rbi.org.in/Scripts/NotificationUser.aspx?Id=12081&amp;Mode=0" TargetMode="External"/><Relationship Id="rId31" Type="http://schemas.openxmlformats.org/officeDocument/2006/relationships/hyperlink" Target="https://www.rbi.org.in/Scripts/NotificationUser.aspx?Id=12179&amp;Mode=0" TargetMode="External"/><Relationship Id="rId44" Type="http://schemas.openxmlformats.org/officeDocument/2006/relationships/hyperlink" Target="https://www.rbi.org.in/Scripts/NotificationUser.aspx?Id=12290&amp;Mode=0" TargetMode="External"/><Relationship Id="rId52" Type="http://schemas.openxmlformats.org/officeDocument/2006/relationships/hyperlink" Target="https://www.rbi.org.in/Scripts/BS_ViewMasCirculardetails.aspx?id=12171" TargetMode="External"/><Relationship Id="rId60" Type="http://schemas.openxmlformats.org/officeDocument/2006/relationships/hyperlink" Target="https://rbi.org.in/Scripts/BS_PressReleaseDisplay.aspx?prid=51078" TargetMode="External"/><Relationship Id="rId65" Type="http://schemas.openxmlformats.org/officeDocument/2006/relationships/hyperlink" Target="https://www.rbi.org.in/Scripts/NotificationUser.aspx?Id=12179&amp;Mode=0" TargetMode="External"/><Relationship Id="rId73" Type="http://schemas.openxmlformats.org/officeDocument/2006/relationships/hyperlink" Target="https://www.rbi.org.in/Scripts/NotificationUser.aspx?Id=11947&amp;Mode=0"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bi.org.in/Scripts/NotificationUser.aspx?Id=12342&amp;Mode=0" TargetMode="External"/><Relationship Id="rId14" Type="http://schemas.openxmlformats.org/officeDocument/2006/relationships/hyperlink" Target="https://www.rbi.org.in/Scripts/NotificationUser.aspx?Id=12341&amp;Mode=0" TargetMode="External"/><Relationship Id="rId22" Type="http://schemas.openxmlformats.org/officeDocument/2006/relationships/hyperlink" Target="https://www.rbi.org.in/Scripts/BS_ViewMasDirections.aspx?id=10563" TargetMode="External"/><Relationship Id="rId27" Type="http://schemas.openxmlformats.org/officeDocument/2006/relationships/hyperlink" Target="https://www.rbi.org.in/Scripts/NotificationUser.aspx?Id=12303&amp;Mode=0" TargetMode="External"/><Relationship Id="rId30" Type="http://schemas.openxmlformats.org/officeDocument/2006/relationships/hyperlink" Target="https://www.rbi.org.in/Scripts/NotificationUser.aspx?Id=12300&amp;Mode=0" TargetMode="External"/><Relationship Id="rId35" Type="http://schemas.openxmlformats.org/officeDocument/2006/relationships/image" Target="media/image1.jpeg"/><Relationship Id="rId43" Type="http://schemas.openxmlformats.org/officeDocument/2006/relationships/hyperlink" Target="https://www.rbi.org.in/Scripts/NotificationUser.aspx?Id=12179&amp;Mode=0" TargetMode="External"/><Relationship Id="rId48" Type="http://schemas.openxmlformats.org/officeDocument/2006/relationships/hyperlink" Target="https://www.rbi.org.in/Scripts/NotificationUser.aspx?Id=11427&amp;Mode=0" TargetMode="External"/><Relationship Id="rId56" Type="http://schemas.openxmlformats.org/officeDocument/2006/relationships/hyperlink" Target="https://www.rbi.org.in/Scripts/BS_ViewMasCirculardetails.aspx?id=12218" TargetMode="External"/><Relationship Id="rId64" Type="http://schemas.openxmlformats.org/officeDocument/2006/relationships/hyperlink" Target="https://www.rbi.org.in/Scripts/NotificationUser.aspx?Id=12256&amp;Mode=0" TargetMode="External"/><Relationship Id="rId69" Type="http://schemas.openxmlformats.org/officeDocument/2006/relationships/hyperlink" Target="https://www.rbi.org.in/Scripts/NotificationUser.aspx?Id=12230&amp;Mode=0" TargetMode="External"/><Relationship Id="rId77" Type="http://schemas.openxmlformats.org/officeDocument/2006/relationships/fontTable" Target="fontTable.xml"/><Relationship Id="rId8" Type="http://schemas.openxmlformats.org/officeDocument/2006/relationships/hyperlink" Target="https://rbi.org.in/Scripts/BS_ViewMasDirections.aspx?id=12300" TargetMode="External"/><Relationship Id="rId51" Type="http://schemas.openxmlformats.org/officeDocument/2006/relationships/hyperlink" Target="https://www.rbi.org.in/Scripts/NotificationUser.aspx?Id=12289&amp;Mode=0" TargetMode="External"/><Relationship Id="rId72" Type="http://schemas.openxmlformats.org/officeDocument/2006/relationships/hyperlink" Target="https://www.rbi.org.in/Scripts/NotificationUser.aspx?Id=12218&amp;Mode=0" TargetMode="External"/><Relationship Id="rId3" Type="http://schemas.openxmlformats.org/officeDocument/2006/relationships/settings" Target="settings.xml"/><Relationship Id="rId12" Type="http://schemas.openxmlformats.org/officeDocument/2006/relationships/hyperlink" Target="https://www.rbi.org.in/Scripts/NotificationUser.aspx?Id=12002&amp;Mode=0" TargetMode="External"/><Relationship Id="rId17" Type="http://schemas.openxmlformats.org/officeDocument/2006/relationships/hyperlink" Target="https://www.rbi.org.in/Scripts/BS_ViewMasDirections.aspx?id=11959" TargetMode="External"/><Relationship Id="rId25" Type="http://schemas.openxmlformats.org/officeDocument/2006/relationships/hyperlink" Target="https://www.rbi.org.in/Scripts/NotificationUser.aspx?Id=12303&amp;Mode=0" TargetMode="External"/><Relationship Id="rId33" Type="http://schemas.openxmlformats.org/officeDocument/2006/relationships/hyperlink" Target="https://www.rbi.org.in/Scripts/NotificationUser.aspx?Id=12298&amp;Mode=0" TargetMode="External"/><Relationship Id="rId38" Type="http://schemas.openxmlformats.org/officeDocument/2006/relationships/hyperlink" Target="https://www.rbi.org.in/Scripts/NotificationUser.aspx?Id=12294&amp;Mode=0" TargetMode="External"/><Relationship Id="rId46" Type="http://schemas.openxmlformats.org/officeDocument/2006/relationships/hyperlink" Target="https://www.rbi.org.in/Scripts/NotificationUser.aspx?Id=12290&amp;Mode=0" TargetMode="External"/><Relationship Id="rId59" Type="http://schemas.openxmlformats.org/officeDocument/2006/relationships/hyperlink" Target="https://www.rbi.org.in/Scripts/NotificationUser.aspx?Id=12262&amp;Mode=0" TargetMode="External"/><Relationship Id="rId67" Type="http://schemas.openxmlformats.org/officeDocument/2006/relationships/hyperlink" Target="https://www.rbi.org.in/Scripts/NotificationUser.aspx?Id=12194&amp;Mode=0" TargetMode="External"/><Relationship Id="rId20" Type="http://schemas.openxmlformats.org/officeDocument/2006/relationships/hyperlink" Target="https://www.rbi.org.in/Scripts/NotificationUser.aspx?Id=12317&amp;Mode=0" TargetMode="External"/><Relationship Id="rId41" Type="http://schemas.openxmlformats.org/officeDocument/2006/relationships/hyperlink" Target="https://rbidocs.rbi.org.in/rdocs/content/pdfs/NOTI26_AN.pdf" TargetMode="External"/><Relationship Id="rId54" Type="http://schemas.openxmlformats.org/officeDocument/2006/relationships/hyperlink" Target="https://www.rbi.org.in/Scripts/NotificationUser.aspx?Id=12281&amp;Mode=0" TargetMode="External"/><Relationship Id="rId62" Type="http://schemas.openxmlformats.org/officeDocument/2006/relationships/hyperlink" Target="https://rbi.org.in/Scripts/BS_PressReleaseDisplay.aspx?prid=51725" TargetMode="External"/><Relationship Id="rId70" Type="http://schemas.openxmlformats.org/officeDocument/2006/relationships/hyperlink" Target="https://www.rbi.org.in/Scripts/NotificationUser.aspx?Id=9843&amp;Mode=0" TargetMode="External"/><Relationship Id="rId75" Type="http://schemas.openxmlformats.org/officeDocument/2006/relationships/hyperlink" Target="https://www.rbi.org.in/Scripts/NotificationUser.aspx?Id=12215&amp;Mode=0" TargetMode="External"/><Relationship Id="rId1" Type="http://schemas.openxmlformats.org/officeDocument/2006/relationships/numbering" Target="numbering.xml"/><Relationship Id="rId6" Type="http://schemas.openxmlformats.org/officeDocument/2006/relationships/hyperlink" Target="https://www.rbi.org.in/Scripts/NotificationUser.aspx?Id=10588&amp;Mod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23</Pages>
  <Words>6298</Words>
  <Characters>35903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1</cp:revision>
  <dcterms:created xsi:type="dcterms:W3CDTF">2022-08-06T09:23:00Z</dcterms:created>
  <dcterms:modified xsi:type="dcterms:W3CDTF">2022-08-06T09:41:00Z</dcterms:modified>
</cp:coreProperties>
</file>